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微软雅黑" w:cs="Times New Roman"/>
          <w:color w:val="auto"/>
          <w:sz w:val="44"/>
          <w:szCs w:val="44"/>
        </w:rPr>
      </w:pPr>
      <w:r>
        <w:rPr>
          <w:rFonts w:hint="eastAsia" w:eastAsia="方正小标宋_GBK" w:cs="Times New Roman"/>
          <w:color w:val="auto"/>
          <w:sz w:val="44"/>
          <w:szCs w:val="44"/>
          <w:lang w:val="en-US" w:eastAsia="zh-CN"/>
        </w:rPr>
        <w:t>区应急局</w:t>
      </w:r>
      <w:r>
        <w:rPr>
          <w:rFonts w:hint="default" w:ascii="Times New Roman" w:hAnsi="Times New Roman" w:eastAsia="方正小标宋_GBK" w:cs="Times New Roman"/>
          <w:color w:val="auto"/>
          <w:sz w:val="44"/>
          <w:szCs w:val="44"/>
        </w:rPr>
        <w:t>20</w:t>
      </w:r>
      <w:r>
        <w:rPr>
          <w:rFonts w:hint="default" w:ascii="Times New Roman" w:hAnsi="Times New Roman" w:eastAsia="方正小标宋_GBK" w:cs="Times New Roman"/>
          <w:color w:val="auto"/>
          <w:sz w:val="44"/>
          <w:szCs w:val="44"/>
          <w:lang w:val="en-US" w:eastAsia="zh-CN"/>
        </w:rPr>
        <w:t>2</w:t>
      </w:r>
      <w:r>
        <w:rPr>
          <w:rFonts w:hint="eastAsia" w:eastAsia="方正小标宋_GBK" w:cs="Times New Roman"/>
          <w:color w:val="auto"/>
          <w:sz w:val="44"/>
          <w:szCs w:val="44"/>
          <w:lang w:val="en-US" w:eastAsia="zh-CN"/>
        </w:rPr>
        <w:t>5</w:t>
      </w:r>
      <w:r>
        <w:rPr>
          <w:rFonts w:hint="default" w:ascii="Times New Roman" w:hAnsi="Times New Roman" w:eastAsia="方正小标宋_GBK" w:cs="Times New Roman"/>
          <w:color w:val="auto"/>
          <w:sz w:val="44"/>
          <w:szCs w:val="44"/>
        </w:rPr>
        <w:t>年</w:t>
      </w:r>
      <w:r>
        <w:rPr>
          <w:rFonts w:hint="eastAsia" w:eastAsia="方正小标宋_GBK" w:cs="Times New Roman"/>
          <w:color w:val="auto"/>
          <w:sz w:val="44"/>
          <w:szCs w:val="44"/>
          <w:lang w:val="en-US" w:eastAsia="zh-CN"/>
        </w:rPr>
        <w:t>度</w:t>
      </w:r>
      <w:r>
        <w:rPr>
          <w:rFonts w:hint="default" w:ascii="Times New Roman" w:hAnsi="Times New Roman" w:eastAsia="方正小标宋_GBK" w:cs="Times New Roman"/>
          <w:color w:val="auto"/>
          <w:sz w:val="44"/>
          <w:szCs w:val="44"/>
        </w:rPr>
        <w:t>安全生产监督检查计划</w:t>
      </w:r>
    </w:p>
    <w:p>
      <w:pPr>
        <w:pStyle w:val="12"/>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firstLine="640" w:firstLineChars="200"/>
        <w:jc w:val="both"/>
        <w:textAlignment w:val="auto"/>
        <w:rPr>
          <w:rFonts w:hint="default" w:ascii="Times New Roman" w:hAnsi="Times New Roman" w:eastAsia="仿宋_GB2312" w:cs="Times New Roman"/>
          <w:color w:val="auto"/>
          <w:sz w:val="32"/>
          <w:szCs w:val="32"/>
        </w:rPr>
      </w:pPr>
    </w:p>
    <w:p>
      <w:pPr>
        <w:pStyle w:val="26"/>
        <w:keepNext w:val="0"/>
        <w:keepLines w:val="0"/>
        <w:pageBreakBefore w:val="0"/>
        <w:widowControl w:val="0"/>
        <w:kinsoku/>
        <w:wordWrap/>
        <w:overflowPunct/>
        <w:topLinePunct w:val="0"/>
        <w:autoSpaceDE/>
        <w:autoSpaceDN/>
        <w:bidi w:val="0"/>
        <w:adjustRightInd/>
        <w:snapToGrid/>
        <w:spacing w:line="594" w:lineRule="exact"/>
        <w:ind w:firstLine="640"/>
        <w:jc w:val="both"/>
        <w:textAlignment w:val="auto"/>
        <w:rPr>
          <w:rFonts w:hint="default" w:ascii="Times New Roman" w:hAnsi="Times New Roman" w:eastAsia="方正仿宋_GBK" w:cs="Times New Roman"/>
          <w:color w:val="auto"/>
          <w:highlight w:val="none"/>
        </w:rPr>
      </w:pPr>
      <w:r>
        <w:rPr>
          <w:rFonts w:hint="default" w:ascii="Times New Roman" w:hAnsi="Times New Roman" w:cs="Times New Roman"/>
          <w:color w:val="auto"/>
        </w:rPr>
        <w:t>为依法履行安全生产监管职责，提高安全生产监管执法效能，根据《中华人民共和国安全生产法》《江苏省安全生产条例》《无锡市安全生产条例》《应急管理行政执法人员依法履职管理规定》（应急管理部令第9号）规定，按照《提升行政执法质量三年行动计划（2023-2025年）》（国办发〔2023〕27号）和《安全生产年度监督检查计划编制办法》（安监总政法〔2017〕150号）等文件要求，</w:t>
      </w:r>
      <w:r>
        <w:rPr>
          <w:rFonts w:hint="default" w:ascii="Times New Roman" w:hAnsi="Times New Roman" w:eastAsia="方正仿宋_GBK" w:cs="Times New Roman"/>
          <w:color w:val="auto"/>
          <w:highlight w:val="none"/>
        </w:rPr>
        <w:t>结合</w:t>
      </w:r>
      <w:r>
        <w:rPr>
          <w:rFonts w:hint="eastAsia" w:ascii="Times New Roman" w:hAnsi="Times New Roman" w:cs="Times New Roman"/>
          <w:color w:val="auto"/>
          <w:highlight w:val="none"/>
          <w:lang w:eastAsia="zh-CN"/>
        </w:rPr>
        <w:t>我</w:t>
      </w:r>
      <w:r>
        <w:rPr>
          <w:rFonts w:hint="eastAsia" w:ascii="Times New Roman" w:hAnsi="Times New Roman" w:cs="Times New Roman"/>
          <w:color w:val="auto"/>
          <w:highlight w:val="none"/>
          <w:lang w:val="en-US" w:eastAsia="zh-CN"/>
        </w:rPr>
        <w:t>区</w:t>
      </w:r>
      <w:r>
        <w:rPr>
          <w:rFonts w:hint="default" w:ascii="Times New Roman" w:hAnsi="Times New Roman" w:eastAsia="方正仿宋_GBK" w:cs="Times New Roman"/>
          <w:color w:val="auto"/>
          <w:highlight w:val="none"/>
        </w:rPr>
        <w:t>实际，编制202</w:t>
      </w:r>
      <w:r>
        <w:rPr>
          <w:rFonts w:hint="eastAsia" w:ascii="Times New Roman" w:hAnsi="Times New Roman" w:cs="Times New Roman"/>
          <w:color w:val="auto"/>
          <w:highlight w:val="none"/>
          <w:lang w:val="en-US" w:eastAsia="zh-CN"/>
        </w:rPr>
        <w:t>5</w:t>
      </w:r>
      <w:r>
        <w:rPr>
          <w:rFonts w:hint="default" w:ascii="Times New Roman" w:hAnsi="Times New Roman" w:eastAsia="方正仿宋_GBK" w:cs="Times New Roman"/>
          <w:color w:val="auto"/>
          <w:highlight w:val="none"/>
        </w:rPr>
        <w:t>年度</w:t>
      </w:r>
      <w:r>
        <w:rPr>
          <w:rFonts w:hint="default" w:ascii="Times New Roman" w:hAnsi="Times New Roman" w:cs="Times New Roman"/>
          <w:color w:val="auto"/>
          <w:highlight w:val="none"/>
          <w:lang w:val="en-US" w:eastAsia="zh-CN"/>
        </w:rPr>
        <w:t>无锡市</w:t>
      </w:r>
      <w:r>
        <w:rPr>
          <w:rFonts w:hint="default" w:ascii="Times New Roman" w:hAnsi="Times New Roman" w:eastAsia="方正仿宋_GBK" w:cs="Times New Roman"/>
          <w:color w:val="auto"/>
          <w:highlight w:val="none"/>
          <w:lang w:eastAsia="zh-CN"/>
        </w:rPr>
        <w:t>梁溪区应急管理局</w:t>
      </w:r>
      <w:r>
        <w:rPr>
          <w:rFonts w:hint="default" w:ascii="Times New Roman" w:hAnsi="Times New Roman" w:eastAsia="方正仿宋_GBK" w:cs="Times New Roman"/>
          <w:color w:val="auto"/>
          <w:highlight w:val="none"/>
        </w:rPr>
        <w:t>安全生产监督检查</w:t>
      </w:r>
      <w:r>
        <w:rPr>
          <w:rFonts w:hint="default" w:ascii="Times New Roman" w:hAnsi="Times New Roman" w:cs="Times New Roman"/>
          <w:color w:val="auto"/>
          <w:highlight w:val="none"/>
          <w:lang w:val="en-US" w:eastAsia="zh-CN"/>
        </w:rPr>
        <w:t>工作</w:t>
      </w:r>
      <w:r>
        <w:rPr>
          <w:rFonts w:hint="default" w:ascii="Times New Roman" w:hAnsi="Times New Roman" w:eastAsia="方正仿宋_GBK" w:cs="Times New Roman"/>
          <w:color w:val="auto"/>
          <w:highlight w:val="none"/>
        </w:rPr>
        <w:t>计划。</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黑体_GBK" w:cs="Times New Roman"/>
          <w:b w:val="0"/>
          <w:bCs/>
          <w:color w:val="auto"/>
          <w:kern w:val="0"/>
          <w:szCs w:val="32"/>
        </w:rPr>
      </w:pPr>
      <w:r>
        <w:rPr>
          <w:rFonts w:hint="default" w:ascii="Times New Roman" w:hAnsi="Times New Roman" w:eastAsia="方正黑体_GBK" w:cs="Times New Roman"/>
          <w:b w:val="0"/>
          <w:bCs/>
          <w:color w:val="auto"/>
          <w:kern w:val="0"/>
          <w:szCs w:val="32"/>
        </w:rPr>
        <w:t>一、指导思想</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auto"/>
          <w:szCs w:val="32"/>
        </w:rPr>
      </w:pPr>
      <w:r>
        <w:rPr>
          <w:rFonts w:hint="default" w:ascii="Times New Roman" w:hAnsi="Times New Roman" w:eastAsia="方正仿宋_GBK" w:cs="Times New Roman"/>
          <w:color w:val="auto"/>
          <w:szCs w:val="32"/>
        </w:rPr>
        <w:t>以习近平新时代中国特色社会主义思想为指导，深入学习贯彻党的二十大精神，全面落实习近平总书记视察江苏重要讲话指示精神，持续深化应急管理综合行政执法改革，着力提高执法队伍能力素质，认真履行防范化解重大安全风险的政治责任，有效防范各类生产安全事故发生，助力经济高质量发展</w:t>
      </w:r>
      <w:r>
        <w:rPr>
          <w:rFonts w:hint="default" w:ascii="Times New Roman" w:hAnsi="Times New Roman" w:eastAsia="方正仿宋_GBK" w:cs="Times New Roman"/>
          <w:color w:val="auto"/>
          <w:szCs w:val="32"/>
          <w:lang w:eastAsia="zh-CN"/>
        </w:rPr>
        <w:t>，</w:t>
      </w:r>
      <w:r>
        <w:rPr>
          <w:rFonts w:hint="default" w:ascii="Times New Roman" w:hAnsi="Times New Roman" w:eastAsia="方正仿宋_GBK" w:cs="Times New Roman"/>
          <w:color w:val="auto"/>
          <w:szCs w:val="32"/>
        </w:rPr>
        <w:t>推动全</w:t>
      </w:r>
      <w:r>
        <w:rPr>
          <w:rFonts w:hint="default" w:ascii="Times New Roman" w:hAnsi="Times New Roman" w:eastAsia="方正仿宋_GBK" w:cs="Times New Roman"/>
          <w:color w:val="auto"/>
          <w:szCs w:val="32"/>
          <w:lang w:eastAsia="zh-CN"/>
        </w:rPr>
        <w:t>区</w:t>
      </w:r>
      <w:r>
        <w:rPr>
          <w:rFonts w:hint="default" w:ascii="Times New Roman" w:hAnsi="Times New Roman" w:eastAsia="方正仿宋_GBK" w:cs="Times New Roman"/>
          <w:color w:val="auto"/>
          <w:szCs w:val="32"/>
        </w:rPr>
        <w:t>安全形势平稳向好。</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黑体_GBK" w:cs="Times New Roman"/>
          <w:b w:val="0"/>
          <w:bCs/>
          <w:color w:val="auto"/>
          <w:kern w:val="0"/>
          <w:szCs w:val="32"/>
        </w:rPr>
      </w:pPr>
      <w:r>
        <w:rPr>
          <w:rFonts w:hint="default" w:ascii="Times New Roman" w:hAnsi="Times New Roman" w:eastAsia="方正黑体_GBK" w:cs="Times New Roman"/>
          <w:b w:val="0"/>
          <w:bCs/>
          <w:color w:val="auto"/>
          <w:kern w:val="0"/>
          <w:szCs w:val="32"/>
        </w:rPr>
        <w:t>二、工作目标和任务</w:t>
      </w:r>
    </w:p>
    <w:p>
      <w:pPr>
        <w:pStyle w:val="27"/>
        <w:keepNext w:val="0"/>
        <w:keepLines w:val="0"/>
        <w:pageBreakBefore w:val="0"/>
        <w:widowControl w:val="0"/>
        <w:kinsoku/>
        <w:wordWrap/>
        <w:overflowPunct/>
        <w:topLinePunct w:val="0"/>
        <w:bidi w:val="0"/>
        <w:snapToGrid/>
        <w:spacing w:line="594" w:lineRule="exact"/>
        <w:ind w:firstLine="640"/>
        <w:jc w:val="both"/>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lang w:val="en-US" w:eastAsia="zh-CN"/>
        </w:rPr>
        <w:t>区</w:t>
      </w:r>
      <w:r>
        <w:rPr>
          <w:rFonts w:hint="default" w:ascii="Times New Roman" w:hAnsi="Times New Roman" w:eastAsia="方正仿宋_GBK" w:cs="Times New Roman"/>
          <w:color w:val="auto"/>
        </w:rPr>
        <w:t>应急局依法开展</w:t>
      </w:r>
      <w:r>
        <w:rPr>
          <w:rFonts w:hint="eastAsia" w:ascii="Times New Roman" w:hAnsi="Times New Roman" w:eastAsia="方正仿宋_GBK" w:cs="Times New Roman"/>
          <w:color w:val="auto"/>
          <w:lang w:val="en-US" w:eastAsia="zh-CN"/>
        </w:rPr>
        <w:t>冶金等工贸、危险化学品行业</w:t>
      </w:r>
      <w:r>
        <w:rPr>
          <w:rFonts w:hint="default" w:ascii="Times New Roman" w:hAnsi="Times New Roman" w:eastAsia="方正仿宋_GBK" w:cs="Times New Roman"/>
          <w:color w:val="auto"/>
        </w:rPr>
        <w:t>安全生产行政执法工作，对列入计划的企业执行有关安全生产的法律、法规和国家标准或者行业标准的情况进行监督检查。采取日常检查、专项检查、</w:t>
      </w:r>
      <w:r>
        <w:rPr>
          <w:rFonts w:hint="eastAsia" w:ascii="方正仿宋_GBK" w:hAnsi="方正仿宋_GBK" w:eastAsia="方正仿宋_GBK" w:cs="方正仿宋_GBK"/>
          <w:color w:val="auto"/>
        </w:rPr>
        <w:t>“双随机”</w:t>
      </w:r>
      <w:r>
        <w:rPr>
          <w:rFonts w:hint="default" w:ascii="Times New Roman" w:hAnsi="Times New Roman" w:eastAsia="方正仿宋_GBK" w:cs="Times New Roman"/>
          <w:color w:val="auto"/>
        </w:rPr>
        <w:t>检查、联合检查等形式，强化安全生产监督检查，严格规范公正文明执法，依法依规查处违法行为，全力消除重大事故隐患，有效遏制较大及以上事故，全力压降一般事故</w:t>
      </w:r>
      <w:r>
        <w:rPr>
          <w:rFonts w:hint="eastAsia" w:ascii="Times New Roman" w:hAnsi="Times New Roman" w:eastAsia="方正仿宋_GBK" w:cs="Times New Roman"/>
          <w:color w:val="auto"/>
          <w:lang w:eastAsia="zh-CN"/>
        </w:rPr>
        <w:t>。</w:t>
      </w:r>
      <w:r>
        <w:rPr>
          <w:rFonts w:hint="default" w:ascii="Times New Roman" w:hAnsi="Times New Roman" w:eastAsia="方正仿宋_GBK" w:cs="Times New Roman"/>
          <w:color w:val="auto"/>
        </w:rPr>
        <w:t>做到对纳入计划的企业监督检查覆盖率100%，对发现的安全生产违法行为查处率100%，对受理的群众实名举报核查率100%，对涉嫌安全生产犯罪</w:t>
      </w:r>
      <w:r>
        <w:rPr>
          <w:rFonts w:hint="eastAsia" w:ascii="Times New Roman" w:hAnsi="Times New Roman" w:eastAsia="方正仿宋_GBK" w:cs="Times New Roman"/>
          <w:color w:val="auto"/>
          <w:lang w:eastAsia="zh-CN"/>
        </w:rPr>
        <w:t>的</w:t>
      </w:r>
      <w:r>
        <w:rPr>
          <w:rFonts w:hint="default" w:ascii="Times New Roman" w:hAnsi="Times New Roman" w:eastAsia="方正仿宋_GBK" w:cs="Times New Roman"/>
          <w:color w:val="auto"/>
        </w:rPr>
        <w:t>移送率100%。</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黑体_GBK" w:cs="Times New Roman"/>
          <w:b w:val="0"/>
          <w:bCs/>
          <w:color w:val="auto"/>
          <w:kern w:val="0"/>
          <w:szCs w:val="32"/>
        </w:rPr>
      </w:pPr>
      <w:r>
        <w:rPr>
          <w:rFonts w:hint="default" w:ascii="Times New Roman" w:hAnsi="Times New Roman" w:eastAsia="方正黑体_GBK" w:cs="Times New Roman"/>
          <w:b w:val="0"/>
          <w:bCs/>
          <w:color w:val="auto"/>
          <w:kern w:val="0"/>
          <w:szCs w:val="32"/>
        </w:rPr>
        <w:t>三、检查对象和数量</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eastAsia="方正仿宋_GBK" w:cs="Times New Roman"/>
          <w:b w:val="0"/>
          <w:bCs w:val="0"/>
          <w:color w:val="auto"/>
          <w:kern w:val="2"/>
          <w:sz w:val="32"/>
          <w:szCs w:val="32"/>
          <w:highlight w:val="none"/>
          <w:lang w:val="en-US" w:eastAsia="zh-CN" w:bidi="ar-SA"/>
        </w:rPr>
      </w:pPr>
      <w:r>
        <w:rPr>
          <w:rFonts w:hint="eastAsia" w:eastAsia="方正仿宋_GBK" w:cs="Times New Roman"/>
          <w:color w:val="auto"/>
          <w:kern w:val="2"/>
          <w:sz w:val="32"/>
          <w:szCs w:val="32"/>
          <w:highlight w:val="none"/>
          <w:lang w:val="en-US" w:eastAsia="zh-CN" w:bidi="ar-SA"/>
        </w:rPr>
        <w:t>按照</w:t>
      </w:r>
      <w:r>
        <w:rPr>
          <w:rFonts w:hint="default" w:ascii="Times New Roman" w:hAnsi="Times New Roman" w:eastAsia="方正仿宋_GBK" w:cs="Times New Roman"/>
          <w:color w:val="auto"/>
          <w:kern w:val="2"/>
          <w:sz w:val="32"/>
          <w:szCs w:val="32"/>
          <w:highlight w:val="none"/>
          <w:lang w:val="en-US" w:eastAsia="zh-CN" w:bidi="ar-SA"/>
        </w:rPr>
        <w:t>国家法律法规要求</w:t>
      </w:r>
      <w:r>
        <w:rPr>
          <w:rFonts w:hint="eastAsia" w:eastAsia="方正仿宋_GBK" w:cs="Times New Roman"/>
          <w:color w:val="auto"/>
          <w:kern w:val="2"/>
          <w:sz w:val="32"/>
          <w:szCs w:val="32"/>
          <w:highlight w:val="none"/>
          <w:lang w:val="en-US" w:eastAsia="zh-CN" w:bidi="ar-SA"/>
        </w:rPr>
        <w:t>和省、市分级分类监管办法规定</w:t>
      </w:r>
      <w:r>
        <w:rPr>
          <w:rFonts w:hint="default" w:ascii="Times New Roman" w:hAnsi="Times New Roman" w:eastAsia="方正仿宋_GBK" w:cs="Times New Roman"/>
          <w:color w:val="auto"/>
          <w:kern w:val="2"/>
          <w:sz w:val="32"/>
          <w:szCs w:val="32"/>
          <w:highlight w:val="none"/>
          <w:lang w:val="en-US" w:eastAsia="zh-CN" w:bidi="ar-SA"/>
        </w:rPr>
        <w:t>，结合我区实际和部门监管职责，确定执法检查重点为</w:t>
      </w:r>
      <w:r>
        <w:rPr>
          <w:rFonts w:hint="eastAsia" w:eastAsia="方正仿宋_GBK" w:cs="Times New Roman"/>
          <w:color w:val="auto"/>
          <w:kern w:val="2"/>
          <w:sz w:val="32"/>
          <w:szCs w:val="32"/>
          <w:highlight w:val="none"/>
          <w:lang w:val="en-US" w:eastAsia="zh-CN" w:bidi="ar-SA"/>
        </w:rPr>
        <w:t>重点风险领域的工业企业、</w:t>
      </w:r>
      <w:r>
        <w:rPr>
          <w:rFonts w:hint="eastAsia" w:eastAsia="方正仿宋_GBK" w:cs="Times New Roman"/>
          <w:color w:val="auto"/>
          <w:sz w:val="32"/>
          <w:szCs w:val="32"/>
          <w:lang w:val="en-US" w:eastAsia="zh-CN"/>
        </w:rPr>
        <w:t>近两年未开展执法检查的</w:t>
      </w:r>
      <w:r>
        <w:rPr>
          <w:rFonts w:hint="default" w:ascii="Times New Roman" w:hAnsi="Times New Roman" w:eastAsia="方正仿宋_GBK" w:cs="Times New Roman"/>
          <w:color w:val="auto"/>
          <w:kern w:val="2"/>
          <w:sz w:val="32"/>
          <w:szCs w:val="32"/>
          <w:highlight w:val="none"/>
          <w:lang w:val="en-US" w:eastAsia="zh-CN" w:bidi="ar-SA"/>
        </w:rPr>
        <w:t>工业企业、危险化学品</w:t>
      </w:r>
      <w:r>
        <w:rPr>
          <w:rFonts w:hint="eastAsia" w:eastAsia="方正仿宋_GBK" w:cs="Times New Roman"/>
          <w:color w:val="auto"/>
          <w:kern w:val="2"/>
          <w:sz w:val="32"/>
          <w:szCs w:val="32"/>
          <w:highlight w:val="none"/>
          <w:lang w:val="en-US" w:eastAsia="zh-CN" w:bidi="ar-SA"/>
        </w:rPr>
        <w:t>经营企业（含加油站）</w:t>
      </w:r>
      <w:r>
        <w:rPr>
          <w:rFonts w:hint="default" w:ascii="Times New Roman" w:hAnsi="Times New Roman" w:eastAsia="方正仿宋_GBK" w:cs="Times New Roman"/>
          <w:color w:val="auto"/>
          <w:kern w:val="2"/>
          <w:sz w:val="32"/>
          <w:szCs w:val="32"/>
          <w:highlight w:val="none"/>
          <w:lang w:val="en-US" w:eastAsia="zh-CN" w:bidi="ar-SA"/>
        </w:rPr>
        <w:t>、</w:t>
      </w:r>
      <w:r>
        <w:rPr>
          <w:rFonts w:hint="eastAsia" w:eastAsia="方正仿宋_GBK" w:cs="Times New Roman"/>
          <w:color w:val="auto"/>
          <w:kern w:val="2"/>
          <w:sz w:val="32"/>
          <w:szCs w:val="32"/>
          <w:highlight w:val="none"/>
          <w:lang w:val="en-US" w:eastAsia="zh-CN" w:bidi="ar-SA"/>
        </w:rPr>
        <w:t>医药生产企业、安全培训机构等。</w:t>
      </w:r>
      <w:r>
        <w:rPr>
          <w:rFonts w:hint="eastAsia" w:ascii="Times New Roman" w:eastAsia="方正仿宋_GBK" w:cs="Times New Roman"/>
          <w:b w:val="0"/>
          <w:bCs w:val="0"/>
          <w:color w:val="auto"/>
          <w:kern w:val="2"/>
          <w:sz w:val="32"/>
          <w:szCs w:val="32"/>
          <w:highlight w:val="none"/>
          <w:lang w:val="en-US" w:eastAsia="zh-CN" w:bidi="ar-SA"/>
        </w:rPr>
        <w:t>全区2025年度监督检查企业总数为41</w:t>
      </w:r>
      <w:r>
        <w:rPr>
          <w:rFonts w:hint="eastAsia" w:eastAsia="方正仿宋_GBK" w:cs="Times New Roman"/>
          <w:b w:val="0"/>
          <w:bCs w:val="0"/>
          <w:color w:val="auto"/>
          <w:kern w:val="2"/>
          <w:sz w:val="32"/>
          <w:szCs w:val="32"/>
          <w:highlight w:val="none"/>
          <w:lang w:val="en-US" w:eastAsia="zh-CN" w:bidi="ar-SA"/>
        </w:rPr>
        <w:t>6</w:t>
      </w:r>
      <w:r>
        <w:rPr>
          <w:rFonts w:hint="eastAsia" w:ascii="Times New Roman" w:eastAsia="方正仿宋_GBK" w:cs="Times New Roman"/>
          <w:b w:val="0"/>
          <w:bCs w:val="0"/>
          <w:color w:val="auto"/>
          <w:kern w:val="2"/>
          <w:sz w:val="32"/>
          <w:szCs w:val="32"/>
          <w:highlight w:val="none"/>
          <w:lang w:val="en-US" w:eastAsia="zh-CN" w:bidi="ar-SA"/>
        </w:rPr>
        <w:t>家（区级1</w:t>
      </w:r>
      <w:r>
        <w:rPr>
          <w:rFonts w:hint="eastAsia" w:eastAsia="方正仿宋_GBK" w:cs="Times New Roman"/>
          <w:b w:val="0"/>
          <w:bCs w:val="0"/>
          <w:color w:val="auto"/>
          <w:kern w:val="2"/>
          <w:sz w:val="32"/>
          <w:szCs w:val="32"/>
          <w:highlight w:val="none"/>
          <w:lang w:val="en-US" w:eastAsia="zh-CN" w:bidi="ar-SA"/>
        </w:rPr>
        <w:t>90</w:t>
      </w:r>
      <w:r>
        <w:rPr>
          <w:rFonts w:hint="eastAsia" w:ascii="Times New Roman" w:eastAsia="方正仿宋_GBK" w:cs="Times New Roman"/>
          <w:b w:val="0"/>
          <w:bCs w:val="0"/>
          <w:color w:val="auto"/>
          <w:kern w:val="2"/>
          <w:sz w:val="32"/>
          <w:szCs w:val="32"/>
          <w:highlight w:val="none"/>
          <w:lang w:val="en-US" w:eastAsia="zh-CN" w:bidi="ar-SA"/>
        </w:rPr>
        <w:t>家、街道级226家）</w:t>
      </w:r>
      <w:r>
        <w:rPr>
          <w:rFonts w:hint="eastAsia" w:eastAsia="方正仿宋_GBK" w:cs="Times New Roman"/>
          <w:b w:val="0"/>
          <w:bCs w:val="0"/>
          <w:color w:val="auto"/>
          <w:kern w:val="2"/>
          <w:sz w:val="32"/>
          <w:szCs w:val="32"/>
          <w:highlight w:val="none"/>
          <w:lang w:val="en-US" w:eastAsia="zh-CN" w:bidi="ar-SA"/>
        </w:rPr>
        <w:t>，具体为：</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eastAsia="方正仿宋_GBK" w:cs="Times New Roman"/>
          <w:color w:val="auto"/>
          <w:kern w:val="2"/>
          <w:sz w:val="32"/>
          <w:szCs w:val="32"/>
          <w:highlight w:val="none"/>
          <w:lang w:val="en-US" w:eastAsia="zh-CN" w:bidi="ar-SA"/>
        </w:rPr>
      </w:pPr>
      <w:r>
        <w:rPr>
          <w:rFonts w:hint="default" w:ascii="Times New Roman" w:hAnsi="Times New Roman" w:eastAsia="方正楷体_GBK" w:cs="Times New Roman"/>
          <w:color w:val="auto"/>
          <w:kern w:val="2"/>
          <w:sz w:val="32"/>
          <w:szCs w:val="32"/>
          <w:highlight w:val="none"/>
          <w:lang w:val="en-US" w:eastAsia="zh-CN" w:bidi="ar-SA"/>
        </w:rPr>
        <w:t>（一）</w:t>
      </w:r>
      <w:r>
        <w:rPr>
          <w:rFonts w:hint="eastAsia" w:eastAsia="方正楷体_GBK" w:cs="Times New Roman"/>
          <w:color w:val="auto"/>
          <w:kern w:val="2"/>
          <w:sz w:val="32"/>
          <w:szCs w:val="32"/>
          <w:highlight w:val="none"/>
          <w:lang w:val="en-US" w:eastAsia="zh-CN" w:bidi="ar-SA"/>
        </w:rPr>
        <w:t>区级层面</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eastAsia="方正仿宋_GBK" w:cs="Times New Roman"/>
          <w:sz w:val="32"/>
          <w:szCs w:val="32"/>
          <w:lang w:val="en-US" w:eastAsia="zh-CN"/>
        </w:rPr>
      </w:pPr>
      <w:r>
        <w:rPr>
          <w:rFonts w:hint="eastAsia" w:eastAsia="方正仿宋_GBK" w:cs="Times New Roman"/>
          <w:color w:val="auto"/>
          <w:kern w:val="2"/>
          <w:sz w:val="32"/>
          <w:szCs w:val="32"/>
          <w:highlight w:val="none"/>
          <w:lang w:val="en-US" w:eastAsia="zh-CN" w:bidi="ar-SA"/>
        </w:rPr>
        <w:t>根据区应急局工作安排，2025年度</w:t>
      </w:r>
      <w:r>
        <w:rPr>
          <w:rFonts w:hint="eastAsia" w:ascii="Times New Roman" w:hAnsi="Times New Roman" w:eastAsia="方正仿宋_GBK" w:cs="Times New Roman"/>
          <w:sz w:val="32"/>
          <w:szCs w:val="32"/>
          <w:lang w:val="en-US" w:eastAsia="zh-CN"/>
        </w:rPr>
        <w:t>局机关业务监管科室每个执法小组（2人）按照平均每月不少于2.5家的数量编制</w:t>
      </w:r>
      <w:r>
        <w:rPr>
          <w:rFonts w:hint="eastAsia" w:eastAsia="方正仿宋_GBK" w:cs="Times New Roman"/>
          <w:sz w:val="32"/>
          <w:szCs w:val="32"/>
          <w:lang w:val="en-US" w:eastAsia="zh-CN"/>
        </w:rPr>
        <w:t>（其中法规宣教科按照实际情况编制）</w:t>
      </w:r>
      <w:r>
        <w:rPr>
          <w:rFonts w:hint="eastAsia" w:ascii="Times New Roman" w:hAnsi="Times New Roman" w:eastAsia="方正仿宋_GBK" w:cs="Times New Roman"/>
          <w:sz w:val="32"/>
          <w:szCs w:val="32"/>
          <w:lang w:val="en-US" w:eastAsia="zh-CN"/>
        </w:rPr>
        <w:t>，执法大队每个执法小组（3人，含1名兼顾值班人员）按照每月不少于5家的数量编制</w:t>
      </w:r>
      <w:r>
        <w:rPr>
          <w:rFonts w:hint="eastAsia" w:eastAsia="方正仿宋_GBK"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contextualSpacing/>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1</w:t>
      </w:r>
      <w:r>
        <w:rPr>
          <w:rFonts w:hint="eastAsia" w:eastAsia="方正仿宋_GBK" w:cs="Times New Roman"/>
          <w:color w:val="auto"/>
          <w:kern w:val="2"/>
          <w:sz w:val="32"/>
          <w:szCs w:val="32"/>
          <w:highlight w:val="none"/>
          <w:lang w:val="en-US" w:eastAsia="zh-CN" w:bidi="ar-SA"/>
        </w:rPr>
        <w:t>．</w:t>
      </w:r>
      <w:r>
        <w:rPr>
          <w:rFonts w:hint="eastAsia" w:ascii="Times New Roman" w:hAnsi="Times New Roman" w:eastAsia="方正仿宋_GBK" w:cs="Times New Roman"/>
          <w:sz w:val="32"/>
          <w:szCs w:val="32"/>
          <w:lang w:val="en-US" w:eastAsia="zh-CN"/>
        </w:rPr>
        <w:t>安全生产基础科：共3</w:t>
      </w:r>
      <w:r>
        <w:rPr>
          <w:rFonts w:hint="eastAsia"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家，侧重于重点风险领域企业、规模以上企业（</w:t>
      </w:r>
      <w:r>
        <w:rPr>
          <w:rFonts w:hint="eastAsia" w:eastAsia="方正仿宋_GBK" w:cs="Times New Roman"/>
          <w:sz w:val="32"/>
          <w:szCs w:val="32"/>
          <w:lang w:val="en-US" w:eastAsia="zh-CN"/>
        </w:rPr>
        <w:t>确保重点风险领域企业和</w:t>
      </w:r>
      <w:r>
        <w:rPr>
          <w:rFonts w:hint="eastAsia" w:ascii="Times New Roman" w:hAnsi="Times New Roman" w:eastAsia="方正仿宋_GBK" w:cs="Times New Roman"/>
          <w:sz w:val="32"/>
          <w:szCs w:val="32"/>
          <w:lang w:val="en-US" w:eastAsia="zh-CN"/>
        </w:rPr>
        <w:t>亿元以上企业</w:t>
      </w:r>
      <w:r>
        <w:rPr>
          <w:rFonts w:hint="eastAsia" w:eastAsia="方正仿宋_GBK" w:cs="Times New Roman"/>
          <w:sz w:val="32"/>
          <w:szCs w:val="32"/>
          <w:lang w:val="en-US" w:eastAsia="zh-CN"/>
        </w:rPr>
        <w:t>分级全覆盖</w:t>
      </w:r>
      <w:r>
        <w:rPr>
          <w:rFonts w:hint="eastAsia" w:ascii="Times New Roman" w:hAnsi="Times New Roman" w:eastAsia="方正仿宋_GBK" w:cs="Times New Roman"/>
          <w:sz w:val="32"/>
          <w:szCs w:val="32"/>
          <w:lang w:val="en-US" w:eastAsia="zh-CN"/>
        </w:rPr>
        <w:t>），及</w:t>
      </w:r>
      <w:r>
        <w:rPr>
          <w:rFonts w:hint="eastAsia" w:eastAsia="方正仿宋_GBK" w:cs="Times New Roman"/>
          <w:sz w:val="32"/>
          <w:szCs w:val="32"/>
          <w:lang w:val="en-US" w:eastAsia="zh-CN"/>
        </w:rPr>
        <w:t>少</w:t>
      </w:r>
      <w:r>
        <w:rPr>
          <w:rFonts w:hint="eastAsia" w:ascii="Times New Roman" w:hAnsi="Times New Roman" w:eastAsia="方正仿宋_GBK" w:cs="Times New Roman"/>
          <w:sz w:val="32"/>
          <w:szCs w:val="32"/>
          <w:lang w:val="en-US" w:eastAsia="zh-CN"/>
        </w:rPr>
        <w:t>量规模以下企业。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0" w:leftChars="0" w:firstLine="640" w:firstLineChars="200"/>
        <w:contextualSpacing/>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2</w:t>
      </w:r>
      <w:r>
        <w:rPr>
          <w:rFonts w:hint="eastAsia" w:eastAsia="方正仿宋_GBK" w:cs="Times New Roman"/>
          <w:color w:val="auto"/>
          <w:kern w:val="2"/>
          <w:sz w:val="32"/>
          <w:szCs w:val="32"/>
          <w:highlight w:val="none"/>
          <w:lang w:val="en-US" w:eastAsia="zh-CN" w:bidi="ar-SA"/>
        </w:rPr>
        <w:t>．</w:t>
      </w:r>
      <w:r>
        <w:rPr>
          <w:rFonts w:hint="eastAsia" w:ascii="Times New Roman" w:hAnsi="Times New Roman" w:eastAsia="方正仿宋_GBK" w:cs="Times New Roman"/>
          <w:sz w:val="32"/>
          <w:szCs w:val="32"/>
          <w:lang w:val="en-US" w:eastAsia="zh-CN"/>
        </w:rPr>
        <w:t>危险化学品安全生产监督管理科：共32家，侧重于加油站等</w:t>
      </w:r>
      <w:r>
        <w:rPr>
          <w:rFonts w:hint="eastAsia" w:eastAsia="方正仿宋_GBK" w:cs="Times New Roman"/>
          <w:sz w:val="32"/>
          <w:szCs w:val="32"/>
          <w:lang w:val="en-US" w:eastAsia="zh-CN"/>
        </w:rPr>
        <w:t>危险化学品经营企业</w:t>
      </w:r>
      <w:r>
        <w:rPr>
          <w:rFonts w:hint="eastAsia" w:ascii="Times New Roman" w:hAnsi="Times New Roman" w:eastAsia="方正仿宋_GBK" w:cs="Times New Roman"/>
          <w:sz w:val="32"/>
          <w:szCs w:val="32"/>
          <w:lang w:val="en-US" w:eastAsia="zh-CN"/>
        </w:rPr>
        <w:t>和医药</w:t>
      </w:r>
      <w:r>
        <w:rPr>
          <w:rFonts w:hint="eastAsia" w:eastAsia="方正仿宋_GBK" w:cs="Times New Roman"/>
          <w:sz w:val="32"/>
          <w:szCs w:val="32"/>
          <w:lang w:val="en-US" w:eastAsia="zh-CN"/>
        </w:rPr>
        <w:t>生产</w:t>
      </w:r>
      <w:r>
        <w:rPr>
          <w:rFonts w:hint="eastAsia" w:ascii="Times New Roman" w:hAnsi="Times New Roman" w:eastAsia="方正仿宋_GBK" w:cs="Times New Roman"/>
          <w:sz w:val="32"/>
          <w:szCs w:val="32"/>
          <w:lang w:val="en-US" w:eastAsia="zh-CN"/>
        </w:rPr>
        <w:t>企业。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0" w:leftChars="0" w:firstLine="640" w:firstLineChars="200"/>
        <w:contextualSpacing/>
        <w:jc w:val="left"/>
        <w:textAlignment w:val="auto"/>
        <w:rPr>
          <w:rFonts w:hint="default"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eastAsia="方正仿宋_GBK" w:cs="Times New Roman"/>
          <w:color w:val="auto"/>
          <w:kern w:val="2"/>
          <w:sz w:val="32"/>
          <w:szCs w:val="32"/>
          <w:highlight w:val="none"/>
          <w:lang w:val="en-US" w:eastAsia="zh-CN" w:bidi="ar-SA"/>
        </w:rPr>
        <w:t>．法规宣教科：共1家，为全区2家安全培训机构中非市应急局执法计划机构。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0" w:leftChars="0" w:firstLine="640" w:firstLineChars="200"/>
        <w:contextualSpacing/>
        <w:jc w:val="left"/>
        <w:textAlignment w:val="auto"/>
        <w:rPr>
          <w:rFonts w:hint="default" w:ascii="Times New Roman" w:hAnsi="Times New Roman" w:eastAsia="方正仿宋_GBK" w:cs="Times New Roman"/>
          <w:kern w:val="2"/>
          <w:sz w:val="32"/>
          <w:szCs w:val="32"/>
          <w:lang w:val="en-US" w:eastAsia="zh-CN" w:bidi="ar-SA"/>
        </w:rPr>
      </w:pPr>
      <w:r>
        <w:rPr>
          <w:rFonts w:hint="eastAsia" w:eastAsia="方正仿宋_GBK" w:cs="Times New Roman"/>
          <w:color w:val="auto"/>
          <w:kern w:val="2"/>
          <w:sz w:val="32"/>
          <w:szCs w:val="32"/>
          <w:highlight w:val="none"/>
          <w:lang w:val="en-US" w:eastAsia="zh-CN" w:bidi="ar-SA"/>
        </w:rPr>
        <w:t>4．</w:t>
      </w:r>
      <w:r>
        <w:rPr>
          <w:rFonts w:hint="eastAsia" w:ascii="Times New Roman" w:hAnsi="Times New Roman" w:eastAsia="方正仿宋_GBK" w:cs="Times New Roman"/>
          <w:sz w:val="32"/>
          <w:szCs w:val="32"/>
          <w:lang w:val="en-US" w:eastAsia="zh-CN"/>
        </w:rPr>
        <w:t>综合行政执法大队：共126家，其中派驻一中队（3人执法组）和派驻二中队（3人执法组）各63家，侧重于2023年1月1日后未执法企业，包括10人以上的规模以下企业、及少量规模以上企业（亿元以下）。</w:t>
      </w:r>
    </w:p>
    <w:p>
      <w:pPr>
        <w:pStyle w:val="2"/>
        <w:keepNext w:val="0"/>
        <w:keepLines w:val="0"/>
        <w:pageBreakBefore w:val="0"/>
        <w:widowControl w:val="0"/>
        <w:kinsoku/>
        <w:wordWrap/>
        <w:overflowPunct/>
        <w:topLinePunct w:val="0"/>
        <w:bidi w:val="0"/>
        <w:spacing w:line="594" w:lineRule="exact"/>
        <w:textAlignment w:val="auto"/>
        <w:rPr>
          <w:rFonts w:hint="default" w:asci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楷体_GBK" w:cs="Times New Roman"/>
          <w:b w:val="0"/>
          <w:bCs w:val="0"/>
          <w:color w:val="auto"/>
          <w:kern w:val="2"/>
          <w:sz w:val="32"/>
          <w:szCs w:val="32"/>
          <w:highlight w:val="none"/>
          <w:lang w:val="en-US" w:eastAsia="zh-CN" w:bidi="ar-SA"/>
        </w:rPr>
        <w:t>（</w:t>
      </w:r>
      <w:r>
        <w:rPr>
          <w:rFonts w:hint="eastAsia" w:eastAsia="方正楷体_GBK" w:cs="Times New Roman"/>
          <w:b w:val="0"/>
          <w:bCs w:val="0"/>
          <w:color w:val="auto"/>
          <w:kern w:val="2"/>
          <w:sz w:val="32"/>
          <w:szCs w:val="32"/>
          <w:highlight w:val="none"/>
          <w:lang w:val="en-US" w:eastAsia="zh-CN" w:bidi="ar-SA"/>
        </w:rPr>
        <w:t>二</w:t>
      </w:r>
      <w:r>
        <w:rPr>
          <w:rFonts w:hint="default" w:ascii="Times New Roman" w:hAnsi="Times New Roman" w:eastAsia="方正楷体_GBK" w:cs="Times New Roman"/>
          <w:b w:val="0"/>
          <w:bCs w:val="0"/>
          <w:color w:val="auto"/>
          <w:kern w:val="2"/>
          <w:sz w:val="32"/>
          <w:szCs w:val="32"/>
          <w:highlight w:val="none"/>
          <w:lang w:val="en-US" w:eastAsia="zh-CN" w:bidi="ar-SA"/>
        </w:rPr>
        <w:t>）</w:t>
      </w:r>
      <w:r>
        <w:rPr>
          <w:rFonts w:hint="eastAsia" w:ascii="Times New Roman" w:eastAsia="方正楷体_GBK" w:cs="Times New Roman"/>
          <w:b w:val="0"/>
          <w:bCs w:val="0"/>
          <w:color w:val="auto"/>
          <w:kern w:val="2"/>
          <w:sz w:val="32"/>
          <w:szCs w:val="32"/>
          <w:highlight w:val="none"/>
          <w:lang w:val="en-US" w:eastAsia="zh-CN" w:bidi="ar-SA"/>
        </w:rPr>
        <w:t>街道层面</w:t>
      </w:r>
    </w:p>
    <w:p>
      <w:pPr>
        <w:pStyle w:val="2"/>
        <w:keepNext w:val="0"/>
        <w:keepLines w:val="0"/>
        <w:pageBreakBefore w:val="0"/>
        <w:widowControl w:val="0"/>
        <w:kinsoku/>
        <w:wordWrap/>
        <w:overflowPunct/>
        <w:topLinePunct w:val="0"/>
        <w:bidi w:val="0"/>
        <w:spacing w:line="594" w:lineRule="exact"/>
        <w:textAlignment w:val="auto"/>
        <w:rPr>
          <w:rFonts w:hint="eastAsia" w:ascii="Times New Roman" w:eastAsia="方正仿宋_GBK" w:cs="Times New Roman"/>
          <w:b w:val="0"/>
          <w:bCs w:val="0"/>
          <w:color w:val="auto"/>
          <w:kern w:val="2"/>
          <w:sz w:val="32"/>
          <w:szCs w:val="32"/>
          <w:highlight w:val="none"/>
          <w:lang w:val="en-US" w:eastAsia="zh-CN" w:bidi="ar-SA"/>
        </w:rPr>
      </w:pPr>
      <w:r>
        <w:rPr>
          <w:rFonts w:hint="eastAsia" w:ascii="Times New Roman" w:eastAsia="方正仿宋_GBK" w:cs="Times New Roman"/>
          <w:b w:val="0"/>
          <w:bCs w:val="0"/>
          <w:color w:val="auto"/>
          <w:kern w:val="2"/>
          <w:sz w:val="32"/>
          <w:szCs w:val="32"/>
          <w:highlight w:val="none"/>
          <w:lang w:val="en-US" w:eastAsia="zh-CN" w:bidi="ar-SA"/>
        </w:rPr>
        <w:t>各街道年度监督检查计划由街道综合行政执法和应急管理办公室根据街道实际自行研究制订（确保不与市、区级应急部门重复）。具体数量为：崇安寺街道27家（侧重于商贸综合体及危险化学品经营企业）、清名桥街道22家（侧重于危险化学品经营企业）、惠山街道15家（侧重于危险化学品经营企业）、北大街街道16家（侧重于危险化学品经营企业）、广益街道24家（侧重于小微工业企业及危险化学品经营企业）、扬名街道40家（侧重于工业企业）、山北街道35家（侧重于工业企业）、黄巷街道30家（侧重于工业企业）、瞻江街道17家（侧重于工业企业）。街道年度计划报请街道办事处审批，并报区应急局备案。区应急局对各街道年度计划实施完成情况进行监督指导。</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列入年度专项整治</w:t>
      </w:r>
      <w:r>
        <w:rPr>
          <w:rFonts w:hint="eastAsia" w:eastAsia="方正仿宋_GBK" w:cs="Times New Roman"/>
          <w:color w:val="auto"/>
          <w:kern w:val="2"/>
          <w:sz w:val="32"/>
          <w:szCs w:val="32"/>
          <w:highlight w:val="none"/>
          <w:lang w:val="en-US" w:eastAsia="zh-CN" w:bidi="ar-SA"/>
        </w:rPr>
        <w:t>行动</w:t>
      </w:r>
      <w:r>
        <w:rPr>
          <w:rFonts w:hint="default" w:ascii="Times New Roman" w:hAnsi="Times New Roman" w:eastAsia="方正仿宋_GBK" w:cs="Times New Roman"/>
          <w:color w:val="auto"/>
          <w:kern w:val="2"/>
          <w:sz w:val="32"/>
          <w:szCs w:val="32"/>
          <w:highlight w:val="none"/>
          <w:lang w:val="en-US" w:eastAsia="zh-CN" w:bidi="ar-SA"/>
        </w:rPr>
        <w:t>的企业</w:t>
      </w:r>
      <w:r>
        <w:rPr>
          <w:rFonts w:hint="eastAsia" w:eastAsia="方正仿宋_GBK" w:cs="Times New Roman"/>
          <w:color w:val="auto"/>
          <w:kern w:val="2"/>
          <w:sz w:val="32"/>
          <w:szCs w:val="32"/>
          <w:highlight w:val="none"/>
          <w:lang w:val="en-US" w:eastAsia="zh-CN" w:bidi="ar-SA"/>
        </w:rPr>
        <w:t>、被投诉举报的企业以及发生事故的企业不提前纳入年度监督检查计划，按照工作实际开展</w:t>
      </w:r>
      <w:r>
        <w:rPr>
          <w:rFonts w:hint="default" w:ascii="Times New Roman" w:hAnsi="Times New Roman" w:eastAsia="方正仿宋_GBK" w:cs="Times New Roman"/>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黑体_GBK" w:cs="Times New Roman"/>
          <w:b w:val="0"/>
          <w:bCs/>
          <w:color w:val="auto"/>
          <w:kern w:val="0"/>
          <w:szCs w:val="32"/>
        </w:rPr>
      </w:pPr>
      <w:r>
        <w:rPr>
          <w:rFonts w:hint="default" w:ascii="Times New Roman" w:hAnsi="Times New Roman" w:eastAsia="方正黑体_GBK" w:cs="Times New Roman"/>
          <w:b w:val="0"/>
          <w:bCs/>
          <w:color w:val="auto"/>
          <w:kern w:val="0"/>
          <w:szCs w:val="32"/>
        </w:rPr>
        <w:t>四、检查方式和内容</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楷体_GBK" w:cs="Times New Roman"/>
          <w:color w:val="auto"/>
          <w:kern w:val="2"/>
          <w:sz w:val="32"/>
          <w:szCs w:val="32"/>
          <w:highlight w:val="none"/>
          <w:lang w:val="en-US" w:eastAsia="zh-CN" w:bidi="ar-SA"/>
        </w:rPr>
      </w:pPr>
      <w:r>
        <w:rPr>
          <w:rFonts w:hint="default" w:ascii="Times New Roman" w:hAnsi="Times New Roman" w:eastAsia="方正楷体_GBK" w:cs="Times New Roman"/>
          <w:color w:val="auto"/>
          <w:kern w:val="2"/>
          <w:sz w:val="32"/>
          <w:szCs w:val="32"/>
          <w:highlight w:val="none"/>
          <w:lang w:val="en-US" w:eastAsia="zh-CN" w:bidi="ar-SA"/>
        </w:rPr>
        <w:t>（一）</w:t>
      </w:r>
      <w:r>
        <w:rPr>
          <w:rFonts w:hint="eastAsia" w:eastAsia="方正楷体_GBK" w:cs="Times New Roman"/>
          <w:color w:val="auto"/>
          <w:kern w:val="2"/>
          <w:sz w:val="32"/>
          <w:szCs w:val="32"/>
          <w:highlight w:val="none"/>
          <w:lang w:val="en-US" w:eastAsia="zh-CN" w:bidi="ar-SA"/>
        </w:rPr>
        <w:t>主要</w:t>
      </w:r>
      <w:r>
        <w:rPr>
          <w:rFonts w:hint="default" w:ascii="Times New Roman" w:hAnsi="Times New Roman" w:eastAsia="方正楷体_GBK" w:cs="Times New Roman"/>
          <w:color w:val="auto"/>
          <w:kern w:val="2"/>
          <w:sz w:val="32"/>
          <w:szCs w:val="32"/>
          <w:highlight w:val="none"/>
          <w:lang w:val="en-US" w:eastAsia="zh-CN" w:bidi="ar-SA"/>
        </w:rPr>
        <w:t>检查方式：</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日常执法检查：根据年度监督检查计划</w:t>
      </w:r>
      <w:r>
        <w:rPr>
          <w:rFonts w:hint="eastAsia" w:eastAsia="方正仿宋_GBK" w:cs="Times New Roman"/>
          <w:color w:val="auto"/>
          <w:kern w:val="2"/>
          <w:sz w:val="32"/>
          <w:szCs w:val="32"/>
          <w:highlight w:val="none"/>
          <w:lang w:val="en-US" w:eastAsia="zh-CN" w:bidi="ar-SA"/>
        </w:rPr>
        <w:t>逐月分解</w:t>
      </w:r>
      <w:r>
        <w:rPr>
          <w:rFonts w:hint="default" w:ascii="Times New Roman" w:hAnsi="Times New Roman" w:eastAsia="方正仿宋_GBK" w:cs="Times New Roman"/>
          <w:color w:val="auto"/>
          <w:kern w:val="2"/>
          <w:sz w:val="32"/>
          <w:szCs w:val="32"/>
          <w:highlight w:val="none"/>
          <w:lang w:val="en-US" w:eastAsia="zh-CN" w:bidi="ar-SA"/>
        </w:rPr>
        <w:t>，按照企业</w:t>
      </w:r>
      <w:r>
        <w:rPr>
          <w:rFonts w:hint="eastAsia" w:eastAsia="方正仿宋_GBK" w:cs="Times New Roman"/>
          <w:color w:val="auto"/>
          <w:kern w:val="2"/>
          <w:sz w:val="32"/>
          <w:szCs w:val="32"/>
          <w:highlight w:val="none"/>
          <w:lang w:val="en-US" w:eastAsia="zh-CN" w:bidi="ar-SA"/>
        </w:rPr>
        <w:t>对应的</w:t>
      </w:r>
      <w:r>
        <w:rPr>
          <w:rFonts w:hint="default" w:ascii="Times New Roman" w:hAnsi="Times New Roman" w:eastAsia="方正仿宋_GBK" w:cs="Times New Roman"/>
          <w:color w:val="auto"/>
          <w:kern w:val="2"/>
          <w:sz w:val="32"/>
          <w:szCs w:val="32"/>
          <w:highlight w:val="none"/>
          <w:lang w:val="en-US" w:eastAsia="zh-CN" w:bidi="ar-SA"/>
        </w:rPr>
        <w:t>行业领域执法检查事项清单</w:t>
      </w:r>
      <w:r>
        <w:rPr>
          <w:rFonts w:hint="eastAsia" w:eastAsia="方正仿宋_GBK" w:cs="Times New Roman"/>
          <w:color w:val="auto"/>
          <w:kern w:val="2"/>
          <w:sz w:val="32"/>
          <w:szCs w:val="32"/>
          <w:highlight w:val="none"/>
          <w:lang w:val="en-US" w:eastAsia="zh-CN" w:bidi="ar-SA"/>
        </w:rPr>
        <w:t>和省、市执法检查工作具体要求</w:t>
      </w:r>
      <w:r>
        <w:rPr>
          <w:rFonts w:hint="default" w:ascii="Times New Roman" w:hAnsi="Times New Roman" w:eastAsia="方正仿宋_GBK" w:cs="Times New Roman"/>
          <w:color w:val="auto"/>
          <w:kern w:val="2"/>
          <w:sz w:val="32"/>
          <w:szCs w:val="32"/>
          <w:highlight w:val="none"/>
          <w:lang w:val="en-US" w:eastAsia="zh-CN" w:bidi="ar-SA"/>
        </w:rPr>
        <w:t>，有序开展执法检查。</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w:t>
      </w:r>
      <w:r>
        <w:rPr>
          <w:rFonts w:hint="eastAsia" w:eastAsia="方正仿宋_GBK" w:cs="Times New Roman"/>
          <w:color w:val="auto"/>
          <w:kern w:val="2"/>
          <w:sz w:val="32"/>
          <w:szCs w:val="32"/>
          <w:highlight w:val="none"/>
          <w:lang w:val="en-US" w:eastAsia="zh-CN" w:bidi="ar-SA"/>
        </w:rPr>
        <w:t>．</w:t>
      </w:r>
      <w:r>
        <w:rPr>
          <w:rFonts w:hint="eastAsia" w:ascii="方正仿宋_GBK" w:hAnsi="方正仿宋_GBK" w:eastAsia="方正仿宋_GBK" w:cs="方正仿宋_GBK"/>
          <w:color w:val="auto"/>
          <w:kern w:val="2"/>
          <w:sz w:val="32"/>
          <w:szCs w:val="32"/>
          <w:highlight w:val="none"/>
          <w:lang w:val="en-US" w:eastAsia="zh-CN" w:bidi="ar-SA"/>
        </w:rPr>
        <w:t>“四不两直”</w:t>
      </w:r>
      <w:r>
        <w:rPr>
          <w:rFonts w:hint="default" w:ascii="Times New Roman" w:hAnsi="Times New Roman" w:eastAsia="方正仿宋_GBK" w:cs="Times New Roman"/>
          <w:color w:val="auto"/>
          <w:kern w:val="2"/>
          <w:sz w:val="32"/>
          <w:szCs w:val="32"/>
          <w:highlight w:val="none"/>
          <w:lang w:val="en-US" w:eastAsia="zh-CN" w:bidi="ar-SA"/>
        </w:rPr>
        <w:t>检查：紧盯重要节假日、重</w:t>
      </w:r>
      <w:r>
        <w:rPr>
          <w:rFonts w:hint="eastAsia" w:eastAsia="方正仿宋_GBK" w:cs="Times New Roman"/>
          <w:color w:val="auto"/>
          <w:kern w:val="2"/>
          <w:sz w:val="32"/>
          <w:szCs w:val="32"/>
          <w:highlight w:val="none"/>
          <w:lang w:val="en-US" w:eastAsia="zh-CN" w:bidi="ar-SA"/>
        </w:rPr>
        <w:t>点</w:t>
      </w:r>
      <w:r>
        <w:rPr>
          <w:rFonts w:hint="default" w:ascii="Times New Roman" w:hAnsi="Times New Roman" w:eastAsia="方正仿宋_GBK" w:cs="Times New Roman"/>
          <w:color w:val="auto"/>
          <w:kern w:val="2"/>
          <w:sz w:val="32"/>
          <w:szCs w:val="32"/>
          <w:highlight w:val="none"/>
          <w:lang w:val="en-US" w:eastAsia="zh-CN" w:bidi="ar-SA"/>
        </w:rPr>
        <w:t>时段，采取突击检查、飞行检查等方式，重点对企业执行安全生产法律法规、落实政府安全生产部署要求、执行安全生产行政指令、落实重点时间节点</w:t>
      </w:r>
      <w:r>
        <w:rPr>
          <w:rFonts w:hint="eastAsia" w:eastAsia="方正仿宋_GBK" w:cs="Times New Roman"/>
          <w:color w:val="auto"/>
          <w:kern w:val="2"/>
          <w:sz w:val="32"/>
          <w:szCs w:val="32"/>
          <w:highlight w:val="none"/>
          <w:lang w:val="en-US" w:eastAsia="zh-CN" w:bidi="ar-SA"/>
        </w:rPr>
        <w:t>工作要求</w:t>
      </w:r>
      <w:r>
        <w:rPr>
          <w:rFonts w:hint="default" w:ascii="Times New Roman" w:hAnsi="Times New Roman" w:eastAsia="方正仿宋_GBK" w:cs="Times New Roman"/>
          <w:color w:val="auto"/>
          <w:kern w:val="2"/>
          <w:sz w:val="32"/>
          <w:szCs w:val="32"/>
          <w:highlight w:val="none"/>
          <w:lang w:val="en-US" w:eastAsia="zh-CN" w:bidi="ar-SA"/>
        </w:rPr>
        <w:t>和落实安全防范措施等内容开展检查。</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3</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联合检查：根据全区安全生产工作部署，按照各自职责分工，</w:t>
      </w:r>
      <w:r>
        <w:rPr>
          <w:rFonts w:hint="eastAsia" w:eastAsia="方正仿宋_GBK" w:cs="Times New Roman"/>
          <w:color w:val="auto"/>
          <w:kern w:val="2"/>
          <w:sz w:val="32"/>
          <w:szCs w:val="32"/>
          <w:highlight w:val="none"/>
          <w:lang w:val="en-US" w:eastAsia="zh-CN" w:bidi="ar-SA"/>
        </w:rPr>
        <w:t>根据需要</w:t>
      </w:r>
      <w:r>
        <w:rPr>
          <w:rFonts w:hint="default" w:ascii="Times New Roman" w:hAnsi="Times New Roman" w:eastAsia="方正仿宋_GBK" w:cs="Times New Roman"/>
          <w:color w:val="auto"/>
          <w:kern w:val="2"/>
          <w:sz w:val="32"/>
          <w:szCs w:val="32"/>
          <w:highlight w:val="none"/>
          <w:lang w:val="en-US" w:eastAsia="zh-CN" w:bidi="ar-SA"/>
        </w:rPr>
        <w:t>组织或参与</w:t>
      </w:r>
      <w:r>
        <w:rPr>
          <w:rFonts w:hint="eastAsia" w:eastAsia="方正仿宋_GBK" w:cs="Times New Roman"/>
          <w:color w:val="auto"/>
          <w:kern w:val="2"/>
          <w:sz w:val="32"/>
          <w:szCs w:val="32"/>
          <w:highlight w:val="none"/>
          <w:lang w:val="en-US" w:eastAsia="zh-CN" w:bidi="ar-SA"/>
        </w:rPr>
        <w:t>消防</w:t>
      </w:r>
      <w:r>
        <w:rPr>
          <w:rFonts w:hint="default" w:ascii="Times New Roman" w:hAnsi="Times New Roman" w:eastAsia="方正仿宋_GBK" w:cs="Times New Roman"/>
          <w:color w:val="auto"/>
          <w:kern w:val="2"/>
          <w:sz w:val="32"/>
          <w:szCs w:val="32"/>
          <w:highlight w:val="none"/>
          <w:lang w:val="en-US" w:eastAsia="zh-CN" w:bidi="ar-SA"/>
        </w:rPr>
        <w:t>、环保、住建、市场监管</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公安等部门开展联合执法检查；会同各街道执法组，开展上下之间、板块之间的联动执法。</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4</w:t>
      </w:r>
      <w:r>
        <w:rPr>
          <w:rFonts w:hint="eastAsia" w:eastAsia="方正仿宋_GBK" w:cs="Times New Roman"/>
          <w:color w:val="auto"/>
          <w:kern w:val="2"/>
          <w:sz w:val="32"/>
          <w:szCs w:val="32"/>
          <w:highlight w:val="none"/>
          <w:lang w:val="en-US" w:eastAsia="zh-CN" w:bidi="ar-SA"/>
        </w:rPr>
        <w:t>．</w:t>
      </w:r>
      <w:r>
        <w:rPr>
          <w:rFonts w:hint="eastAsia" w:ascii="方正仿宋_GBK" w:hAnsi="方正仿宋_GBK" w:eastAsia="方正仿宋_GBK" w:cs="方正仿宋_GBK"/>
          <w:color w:val="auto"/>
          <w:kern w:val="2"/>
          <w:sz w:val="32"/>
          <w:szCs w:val="32"/>
          <w:highlight w:val="none"/>
          <w:lang w:val="en-US" w:eastAsia="zh-CN" w:bidi="ar-SA"/>
        </w:rPr>
        <w:t>“双随机、一公开”执法检查：根据党中央、国务院作出在市场监管领域全面推行“双随机、一公开”监管的重大决策部署，</w:t>
      </w:r>
      <w:r>
        <w:rPr>
          <w:rFonts w:hint="default" w:ascii="Times New Roman" w:hAnsi="Times New Roman" w:eastAsia="方正仿宋_GBK" w:cs="Times New Roman"/>
          <w:color w:val="auto"/>
          <w:kern w:val="2"/>
          <w:sz w:val="32"/>
          <w:szCs w:val="32"/>
          <w:highlight w:val="none"/>
          <w:lang w:val="en-US" w:eastAsia="zh-CN" w:bidi="ar-SA"/>
        </w:rPr>
        <w:t>适应建设现代化经济体系，推动经济高质量发展，切实转变监管理念，创新监管方式，规范执法行为，提高监管效能，减轻企业负</w:t>
      </w:r>
      <w:r>
        <w:rPr>
          <w:rFonts w:hint="eastAsia" w:ascii="方正仿宋_GBK" w:hAnsi="方正仿宋_GBK" w:eastAsia="方正仿宋_GBK" w:cs="方正仿宋_GBK"/>
          <w:color w:val="auto"/>
          <w:kern w:val="2"/>
          <w:sz w:val="32"/>
          <w:szCs w:val="32"/>
          <w:highlight w:val="none"/>
          <w:lang w:val="en-US" w:eastAsia="zh-CN" w:bidi="ar-SA"/>
        </w:rPr>
        <w:t>担，开展“双随机、一公开”执法检查。</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5</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交叉执法检查：结合区委区政府及上级部门要求，参加区级之间交叉执法检查，组织区街级之间交叉执法检查，加强交流，取长补短，共同提高。</w:t>
      </w:r>
    </w:p>
    <w:p>
      <w:pPr>
        <w:pStyle w:val="2"/>
        <w:keepNext w:val="0"/>
        <w:keepLines w:val="0"/>
        <w:pageBreakBefore w:val="0"/>
        <w:widowControl w:val="0"/>
        <w:kinsoku/>
        <w:wordWrap/>
        <w:overflowPunct/>
        <w:topLinePunct w:val="0"/>
        <w:bidi w:val="0"/>
        <w:spacing w:line="594" w:lineRule="exact"/>
        <w:textAlignment w:val="auto"/>
        <w:rPr>
          <w:rFonts w:hint="default"/>
          <w:b w:val="0"/>
          <w:bCs w:val="0"/>
          <w:lang w:val="en-US" w:eastAsia="zh-CN"/>
        </w:rPr>
      </w:pPr>
      <w:r>
        <w:rPr>
          <w:rFonts w:hint="eastAsia" w:ascii="Times New Roman" w:eastAsia="方正仿宋_GBK" w:cs="Times New Roman"/>
          <w:b w:val="0"/>
          <w:bCs w:val="0"/>
          <w:color w:val="auto"/>
          <w:kern w:val="2"/>
          <w:sz w:val="32"/>
          <w:szCs w:val="32"/>
          <w:highlight w:val="none"/>
          <w:lang w:val="en-US" w:eastAsia="zh-CN" w:bidi="ar-SA"/>
        </w:rPr>
        <w:t>所有开展执法检查的企业，现场检查、整改复查和行政处罚等情况均使用执法记录仪全过程记录，并全部通过“江苏省安全生产行政执法系统”录入和生成行政执法文书。</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楷体_GBK" w:cs="Times New Roman"/>
          <w:color w:val="auto"/>
          <w:kern w:val="2"/>
          <w:sz w:val="32"/>
          <w:szCs w:val="32"/>
          <w:highlight w:val="none"/>
          <w:lang w:val="en-US" w:eastAsia="zh-CN" w:bidi="ar-SA"/>
        </w:rPr>
      </w:pPr>
      <w:r>
        <w:rPr>
          <w:rFonts w:hint="default" w:ascii="Times New Roman" w:hAnsi="Times New Roman" w:eastAsia="方正楷体_GBK" w:cs="Times New Roman"/>
          <w:color w:val="auto"/>
          <w:kern w:val="2"/>
          <w:sz w:val="32"/>
          <w:szCs w:val="32"/>
          <w:highlight w:val="none"/>
          <w:lang w:val="en-US" w:eastAsia="zh-CN" w:bidi="ar-SA"/>
        </w:rPr>
        <w:t>（二）重点检查内容</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根据《中华人民共和国安全生产法》《江苏省安全生产条例》《无锡市安全生产条例》《应急管理行政执法人员依法履职管理规定》等法律法规规章的要求，重点检查下列内容：</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依法通过有关安全生产行政许可的情况；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依法设置安全生产管理机构</w:t>
      </w:r>
      <w:r>
        <w:rPr>
          <w:rFonts w:hint="eastAsia" w:eastAsia="方正仿宋_GBK" w:cs="Times New Roman"/>
          <w:color w:val="auto"/>
          <w:kern w:val="2"/>
          <w:sz w:val="32"/>
          <w:szCs w:val="32"/>
          <w:highlight w:val="none"/>
          <w:lang w:val="en-US" w:eastAsia="zh-CN" w:bidi="ar-SA"/>
        </w:rPr>
        <w:t>或</w:t>
      </w:r>
      <w:r>
        <w:rPr>
          <w:rFonts w:hint="default" w:ascii="Times New Roman" w:hAnsi="Times New Roman" w:eastAsia="方正仿宋_GBK" w:cs="Times New Roman"/>
          <w:color w:val="auto"/>
          <w:kern w:val="2"/>
          <w:sz w:val="32"/>
          <w:szCs w:val="32"/>
          <w:highlight w:val="none"/>
          <w:lang w:val="en-US" w:eastAsia="zh-CN" w:bidi="ar-SA"/>
        </w:rPr>
        <w:t>配备安全生产管理人员的情况；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3</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建立和落实安全生产责任制、安全生产规章制度和操作规程、作业规程的情况；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4</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对重大事故隐患的排查治理情况；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5</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教育和督促从业人员严格执行本单位的安全生产规章制度和安全操作规程以及事故应急措施的情况；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6</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对承包单位、承租单位的安全生产工作实行统一协调、管理，定期进行监督检查，督促整改安全问题的情况；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7</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建立健全生产安全事故隐患排查治理制度，及时发现并消除事故隐患，如实记录事故隐患治理，以及向从业人员通报的情况；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8</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制定、实施生产安全事故应急预案，定期组织应急预案演练，以及有关应急预案备案的情况；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9</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从业人员、被派遣劳动者和实习学生受到安全生产教育、培训及其教育培训档案的建立和管理情况；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10</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实施工业企业安全生产风险辨识及防控，落实《江苏省工业企业安全生产风险报告规定》的情况；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11</w:t>
      </w:r>
      <w:r>
        <w:rPr>
          <w:rFonts w:hint="eastAsia" w:eastAsia="方正仿宋_GBK" w:cs="Times New Roman"/>
          <w:color w:val="auto"/>
          <w:kern w:val="2"/>
          <w:sz w:val="32"/>
          <w:szCs w:val="32"/>
          <w:highlight w:val="none"/>
          <w:lang w:val="en-US" w:eastAsia="zh-CN" w:bidi="ar-SA"/>
        </w:rPr>
        <w:t>．储存和使用危险化学品安全管理情况</w:t>
      </w:r>
      <w:r>
        <w:rPr>
          <w:rFonts w:hint="default" w:ascii="Times New Roman" w:hAnsi="Times New Roman" w:eastAsia="方正仿宋_GBK" w:cs="Times New Roman"/>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12</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在有较大危险因素的生产经营场所和有关设施、设备上，设置安全警示标志的情况；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13</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执行有关危险作业管理制度情况；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14</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对安全设备的维护、保养、定期检测情况；</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15</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依法应当监督检查的其他情况</w:t>
      </w:r>
      <w:r>
        <w:rPr>
          <w:rFonts w:hint="eastAsia" w:eastAsia="方正仿宋_GBK" w:cs="Times New Roman"/>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楷体_GBK" w:cs="Times New Roman"/>
          <w:color w:val="auto"/>
          <w:kern w:val="2"/>
          <w:sz w:val="32"/>
          <w:szCs w:val="32"/>
          <w:highlight w:val="none"/>
          <w:lang w:val="en-US" w:eastAsia="zh-CN" w:bidi="ar-SA"/>
        </w:rPr>
      </w:pPr>
      <w:r>
        <w:rPr>
          <w:rFonts w:hint="default" w:ascii="Times New Roman" w:hAnsi="Times New Roman" w:eastAsia="方正楷体_GBK" w:cs="Times New Roman"/>
          <w:color w:val="auto"/>
          <w:kern w:val="2"/>
          <w:sz w:val="32"/>
          <w:szCs w:val="32"/>
          <w:highlight w:val="none"/>
          <w:lang w:val="en-US" w:eastAsia="zh-CN" w:bidi="ar-SA"/>
        </w:rPr>
        <w:t>（三）监督检查频次</w:t>
      </w:r>
    </w:p>
    <w:p>
      <w:pPr>
        <w:keepNext w:val="0"/>
        <w:keepLines w:val="0"/>
        <w:pageBreakBefore w:val="0"/>
        <w:widowControl w:val="0"/>
        <w:kinsoku/>
        <w:wordWrap/>
        <w:overflowPunct/>
        <w:topLinePunct w:val="0"/>
        <w:autoSpaceDE/>
        <w:autoSpaceDN/>
        <w:bidi w:val="0"/>
        <w:adjustRightInd/>
        <w:snapToGrid/>
        <w:spacing w:line="594" w:lineRule="exact"/>
        <w:ind w:firstLine="608" w:firstLineChars="19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eastAsia="方正仿宋_GBK" w:cs="Times New Roman"/>
          <w:color w:val="auto"/>
          <w:kern w:val="2"/>
          <w:sz w:val="32"/>
          <w:szCs w:val="32"/>
          <w:highlight w:val="none"/>
          <w:lang w:val="en-US" w:eastAsia="zh-CN" w:bidi="ar-SA"/>
        </w:rPr>
        <w:t>同一</w:t>
      </w:r>
      <w:r>
        <w:rPr>
          <w:rFonts w:hint="default" w:ascii="Times New Roman" w:hAnsi="Times New Roman" w:eastAsia="方正仿宋_GBK" w:cs="Times New Roman"/>
          <w:color w:val="auto"/>
          <w:kern w:val="2"/>
          <w:sz w:val="32"/>
          <w:szCs w:val="32"/>
          <w:highlight w:val="none"/>
          <w:lang w:val="en-US" w:eastAsia="zh-CN" w:bidi="ar-SA"/>
        </w:rPr>
        <w:t>年度内</w:t>
      </w:r>
      <w:r>
        <w:rPr>
          <w:rFonts w:hint="eastAsia" w:eastAsia="方正仿宋_GBK" w:cs="Times New Roman"/>
          <w:color w:val="auto"/>
          <w:kern w:val="2"/>
          <w:sz w:val="32"/>
          <w:szCs w:val="32"/>
          <w:highlight w:val="none"/>
          <w:lang w:val="en-US" w:eastAsia="zh-CN" w:bidi="ar-SA"/>
        </w:rPr>
        <w:t>不同执法层级（省、市、区、街）对同一企业开展</w:t>
      </w:r>
      <w:r>
        <w:rPr>
          <w:rFonts w:hint="default" w:ascii="Times New Roman" w:hAnsi="Times New Roman" w:eastAsia="方正仿宋_GBK" w:cs="Times New Roman"/>
          <w:color w:val="auto"/>
          <w:kern w:val="2"/>
          <w:sz w:val="32"/>
          <w:szCs w:val="32"/>
          <w:highlight w:val="none"/>
          <w:lang w:val="en-US" w:eastAsia="zh-CN" w:bidi="ar-SA"/>
        </w:rPr>
        <w:t>监督检查频次原则上</w:t>
      </w:r>
      <w:r>
        <w:rPr>
          <w:rFonts w:hint="eastAsia" w:eastAsia="方正仿宋_GBK" w:cs="Times New Roman"/>
          <w:color w:val="auto"/>
          <w:kern w:val="2"/>
          <w:sz w:val="32"/>
          <w:szCs w:val="32"/>
          <w:highlight w:val="none"/>
          <w:lang w:val="en-US" w:eastAsia="zh-CN" w:bidi="ar-SA"/>
        </w:rPr>
        <w:t>不超过</w:t>
      </w:r>
      <w:r>
        <w:rPr>
          <w:rFonts w:hint="default" w:ascii="Times New Roman" w:hAnsi="Times New Roman" w:eastAsia="方正仿宋_GBK" w:cs="Times New Roman"/>
          <w:color w:val="auto"/>
          <w:kern w:val="2"/>
          <w:sz w:val="32"/>
          <w:szCs w:val="32"/>
          <w:highlight w:val="none"/>
          <w:lang w:val="en-US" w:eastAsia="zh-CN" w:bidi="ar-SA"/>
        </w:rPr>
        <w:t>1次</w:t>
      </w:r>
      <w:r>
        <w:rPr>
          <w:rFonts w:hint="eastAsia"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对发生生产安全事故、近三年内多次违法违规、安全生产问题突出、被列入严重失信主体名单的企业，</w:t>
      </w:r>
      <w:r>
        <w:rPr>
          <w:rFonts w:hint="eastAsia" w:eastAsia="方正仿宋_GBK" w:cs="Times New Roman"/>
          <w:color w:val="auto"/>
          <w:kern w:val="2"/>
          <w:sz w:val="32"/>
          <w:szCs w:val="32"/>
          <w:highlight w:val="none"/>
          <w:lang w:val="en-US" w:eastAsia="zh-CN" w:bidi="ar-SA"/>
        </w:rPr>
        <w:t>要适当</w:t>
      </w:r>
      <w:r>
        <w:rPr>
          <w:rFonts w:hint="default" w:ascii="Times New Roman" w:hAnsi="Times New Roman" w:eastAsia="方正仿宋_GBK" w:cs="Times New Roman"/>
          <w:color w:val="auto"/>
          <w:kern w:val="2"/>
          <w:sz w:val="32"/>
          <w:szCs w:val="32"/>
          <w:highlight w:val="none"/>
          <w:lang w:val="en-US" w:eastAsia="zh-CN" w:bidi="ar-SA"/>
        </w:rPr>
        <w:t>增加检查频次；对纳入</w:t>
      </w:r>
      <w:r>
        <w:rPr>
          <w:rFonts w:hint="eastAsia" w:eastAsia="方正仿宋_GBK" w:cs="Times New Roman"/>
          <w:color w:val="auto"/>
          <w:kern w:val="2"/>
          <w:sz w:val="32"/>
          <w:szCs w:val="32"/>
          <w:highlight w:val="none"/>
          <w:lang w:val="en-US" w:eastAsia="zh-CN" w:bidi="ar-SA"/>
        </w:rPr>
        <w:t>年度</w:t>
      </w:r>
      <w:r>
        <w:rPr>
          <w:rFonts w:hint="default" w:ascii="Times New Roman" w:hAnsi="Times New Roman" w:eastAsia="方正仿宋_GBK" w:cs="Times New Roman"/>
          <w:color w:val="auto"/>
          <w:kern w:val="2"/>
          <w:sz w:val="32"/>
          <w:szCs w:val="32"/>
          <w:highlight w:val="none"/>
          <w:lang w:val="en-US" w:eastAsia="zh-CN" w:bidi="ar-SA"/>
        </w:rPr>
        <w:t>专项</w:t>
      </w:r>
      <w:r>
        <w:rPr>
          <w:rFonts w:hint="eastAsia" w:eastAsia="方正仿宋_GBK" w:cs="Times New Roman"/>
          <w:color w:val="auto"/>
          <w:kern w:val="2"/>
          <w:sz w:val="32"/>
          <w:szCs w:val="32"/>
          <w:highlight w:val="none"/>
          <w:lang w:val="en-US" w:eastAsia="zh-CN" w:bidi="ar-SA"/>
        </w:rPr>
        <w:t>整治</w:t>
      </w:r>
      <w:r>
        <w:rPr>
          <w:rFonts w:hint="default" w:ascii="Times New Roman" w:hAnsi="Times New Roman" w:eastAsia="方正仿宋_GBK" w:cs="Times New Roman"/>
          <w:color w:val="auto"/>
          <w:kern w:val="2"/>
          <w:sz w:val="32"/>
          <w:szCs w:val="32"/>
          <w:highlight w:val="none"/>
          <w:lang w:val="en-US" w:eastAsia="zh-CN" w:bidi="ar-SA"/>
        </w:rPr>
        <w:t>行动的企业</w:t>
      </w:r>
      <w:r>
        <w:rPr>
          <w:rFonts w:hint="eastAsia" w:eastAsia="方正仿宋_GBK" w:cs="Times New Roman"/>
          <w:color w:val="auto"/>
          <w:kern w:val="2"/>
          <w:sz w:val="32"/>
          <w:szCs w:val="32"/>
          <w:highlight w:val="none"/>
          <w:lang w:val="en-US" w:eastAsia="zh-CN" w:bidi="ar-SA"/>
        </w:rPr>
        <w:t>和被投诉举报的企业</w:t>
      </w:r>
      <w:r>
        <w:rPr>
          <w:rFonts w:hint="default" w:ascii="Times New Roman" w:hAnsi="Times New Roman" w:eastAsia="方正仿宋_GBK" w:cs="Times New Roman"/>
          <w:color w:val="auto"/>
          <w:kern w:val="2"/>
          <w:sz w:val="32"/>
          <w:szCs w:val="32"/>
          <w:highlight w:val="none"/>
          <w:lang w:val="en-US" w:eastAsia="zh-CN" w:bidi="ar-SA"/>
        </w:rPr>
        <w:t>，可以根据</w:t>
      </w:r>
      <w:r>
        <w:rPr>
          <w:rFonts w:hint="eastAsia" w:eastAsia="方正仿宋_GBK" w:cs="Times New Roman"/>
          <w:color w:val="auto"/>
          <w:kern w:val="2"/>
          <w:sz w:val="32"/>
          <w:szCs w:val="32"/>
          <w:highlight w:val="none"/>
          <w:lang w:val="en-US" w:eastAsia="zh-CN" w:bidi="ar-SA"/>
        </w:rPr>
        <w:t>工作需要</w:t>
      </w:r>
      <w:r>
        <w:rPr>
          <w:rFonts w:hint="default" w:ascii="Times New Roman" w:hAnsi="Times New Roman" w:eastAsia="方正仿宋_GBK" w:cs="Times New Roman"/>
          <w:color w:val="auto"/>
          <w:kern w:val="2"/>
          <w:sz w:val="32"/>
          <w:szCs w:val="32"/>
          <w:highlight w:val="none"/>
          <w:lang w:val="en-US" w:eastAsia="zh-CN" w:bidi="ar-SA"/>
        </w:rPr>
        <w:t>增加检查频次</w:t>
      </w:r>
      <w:r>
        <w:rPr>
          <w:rFonts w:hint="eastAsia" w:eastAsia="方正仿宋_GBK" w:cs="Times New Roman"/>
          <w:color w:val="auto"/>
          <w:kern w:val="2"/>
          <w:sz w:val="32"/>
          <w:szCs w:val="32"/>
          <w:highlight w:val="none"/>
          <w:lang w:val="en-US" w:eastAsia="zh-CN" w:bidi="ar-SA"/>
        </w:rPr>
        <w:t>，但同一</w:t>
      </w:r>
      <w:r>
        <w:rPr>
          <w:rFonts w:hint="default" w:ascii="Times New Roman" w:hAnsi="Times New Roman" w:eastAsia="方正仿宋_GBK" w:cs="Times New Roman"/>
          <w:color w:val="auto"/>
          <w:kern w:val="2"/>
          <w:sz w:val="32"/>
          <w:szCs w:val="32"/>
          <w:highlight w:val="none"/>
          <w:lang w:val="en-US" w:eastAsia="zh-CN" w:bidi="ar-SA"/>
        </w:rPr>
        <w:t>年度内</w:t>
      </w:r>
      <w:r>
        <w:rPr>
          <w:rFonts w:hint="eastAsia" w:eastAsia="方正仿宋_GBK" w:cs="Times New Roman"/>
          <w:color w:val="auto"/>
          <w:kern w:val="2"/>
          <w:sz w:val="32"/>
          <w:szCs w:val="32"/>
          <w:highlight w:val="none"/>
          <w:lang w:val="en-US" w:eastAsia="zh-CN" w:bidi="ar-SA"/>
        </w:rPr>
        <w:t>原则上不超过3次</w:t>
      </w:r>
      <w:r>
        <w:rPr>
          <w:rFonts w:hint="default" w:ascii="Times New Roman" w:hAnsi="Times New Roman" w:eastAsia="方正仿宋_GBK" w:cs="Times New Roman"/>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黑体_GBK" w:cs="Times New Roman"/>
          <w:b w:val="0"/>
          <w:bCs/>
          <w:kern w:val="0"/>
          <w:szCs w:val="32"/>
          <w:lang w:val="en-US" w:eastAsia="zh-CN"/>
        </w:rPr>
      </w:pPr>
      <w:r>
        <w:rPr>
          <w:rFonts w:hint="default" w:ascii="Times New Roman" w:hAnsi="Times New Roman" w:eastAsia="方正黑体_GBK" w:cs="Times New Roman"/>
          <w:b w:val="0"/>
          <w:bCs/>
          <w:kern w:val="0"/>
          <w:szCs w:val="32"/>
        </w:rPr>
        <w:t>五、</w:t>
      </w:r>
      <w:r>
        <w:rPr>
          <w:rFonts w:hint="default" w:ascii="Times New Roman" w:hAnsi="Times New Roman" w:eastAsia="方正黑体_GBK" w:cs="Times New Roman"/>
          <w:b w:val="0"/>
          <w:bCs/>
          <w:kern w:val="0"/>
          <w:szCs w:val="32"/>
          <w:lang w:val="en-US" w:eastAsia="zh-CN"/>
        </w:rPr>
        <w:t>工作要求</w:t>
      </w:r>
    </w:p>
    <w:p>
      <w:pPr>
        <w:keepNext w:val="0"/>
        <w:keepLines w:val="0"/>
        <w:pageBreakBefore w:val="0"/>
        <w:widowControl w:val="0"/>
        <w:kinsoku/>
        <w:wordWrap/>
        <w:overflowPunct/>
        <w:topLinePunct w:val="0"/>
        <w:autoSpaceDE w:val="0"/>
        <w:autoSpaceDN w:val="0"/>
        <w:bidi w:val="0"/>
        <w:adjustRightInd w:val="0"/>
        <w:snapToGrid/>
        <w:spacing w:line="594" w:lineRule="exact"/>
        <w:ind w:firstLine="640" w:firstLineChars="200"/>
        <w:contextualSpacing/>
        <w:jc w:val="both"/>
        <w:textAlignment w:val="auto"/>
        <w:rPr>
          <w:rFonts w:hint="default" w:ascii="Times New Roman" w:hAnsi="Times New Roman" w:eastAsia="方正仿宋_GBK" w:cs="Times New Roman"/>
        </w:rPr>
      </w:pPr>
      <w:r>
        <w:rPr>
          <w:rFonts w:hint="default" w:ascii="Times New Roman" w:hAnsi="Times New Roman" w:eastAsia="方正楷体_GBK" w:cs="Times New Roman"/>
        </w:rPr>
        <w:t>（一）加强组织领导，严格计划落实。</w:t>
      </w:r>
      <w:r>
        <w:rPr>
          <w:rFonts w:hint="default" w:ascii="Times New Roman" w:hAnsi="Times New Roman" w:eastAsia="方正仿宋_GBK" w:cs="Times New Roman"/>
        </w:rPr>
        <w:t>充分认识制定实施年度安全生产监督检查计划</w:t>
      </w:r>
      <w:r>
        <w:rPr>
          <w:rFonts w:hint="eastAsia" w:eastAsia="方正仿宋_GBK" w:cs="Times New Roman"/>
          <w:lang w:eastAsia="zh-CN"/>
        </w:rPr>
        <w:t>的</w:t>
      </w:r>
      <w:r>
        <w:rPr>
          <w:rFonts w:hint="eastAsia" w:eastAsia="方正仿宋_GBK" w:cs="Times New Roman"/>
          <w:lang w:val="en-US" w:eastAsia="zh-CN"/>
        </w:rPr>
        <w:t>重要性，</w:t>
      </w:r>
      <w:r>
        <w:rPr>
          <w:rFonts w:hint="default" w:ascii="Times New Roman" w:hAnsi="Times New Roman" w:eastAsia="方正仿宋_GBK" w:cs="Times New Roman"/>
        </w:rPr>
        <w:t>是贯彻执行安全生产法律法规、依法履行安全监管职责的重要措施，</w:t>
      </w:r>
      <w:r>
        <w:rPr>
          <w:rFonts w:hint="eastAsia" w:eastAsia="方正仿宋_GBK" w:cs="Times New Roman"/>
          <w:lang w:val="en-US" w:eastAsia="zh-CN"/>
        </w:rPr>
        <w:t>要</w:t>
      </w:r>
      <w:r>
        <w:rPr>
          <w:rFonts w:hint="default" w:ascii="Times New Roman" w:hAnsi="Times New Roman" w:eastAsia="方正仿宋_GBK" w:cs="Times New Roman"/>
        </w:rPr>
        <w:t>将年度监督检查执法工作纳入全年重点工作目标管理，执法人员要深刻认识实施监督检查计划在履职尽责中的导向作用，严格按照年度监督检查计划要求，细化分解本部门年度监督检查任务，合理统筹人员力量和时间安排，认真组织实施年度执法检查工作。</w:t>
      </w:r>
    </w:p>
    <w:p>
      <w:pPr>
        <w:pStyle w:val="26"/>
        <w:keepNext w:val="0"/>
        <w:keepLines w:val="0"/>
        <w:pageBreakBefore w:val="0"/>
        <w:widowControl w:val="0"/>
        <w:kinsoku/>
        <w:wordWrap/>
        <w:overflowPunct/>
        <w:topLinePunct w:val="0"/>
        <w:bidi w:val="0"/>
        <w:snapToGrid/>
        <w:spacing w:line="594" w:lineRule="exact"/>
        <w:ind w:firstLine="640"/>
        <w:jc w:val="both"/>
        <w:textAlignment w:val="auto"/>
        <w:rPr>
          <w:rFonts w:hint="default" w:ascii="Times New Roman" w:hAnsi="Times New Roman" w:eastAsia="方正楷体_GBK" w:cs="Times New Roman"/>
        </w:rPr>
      </w:pPr>
      <w:r>
        <w:rPr>
          <w:rFonts w:hint="default" w:ascii="Times New Roman" w:hAnsi="Times New Roman" w:eastAsia="方正楷体_GBK" w:cs="Times New Roman"/>
        </w:rPr>
        <w:t>（二）突出检查重点，提升执法效能。</w:t>
      </w:r>
      <w:r>
        <w:rPr>
          <w:rFonts w:hint="default" w:ascii="Times New Roman" w:hAnsi="Times New Roman" w:cs="Times New Roman"/>
          <w:color w:val="auto"/>
          <w:szCs w:val="24"/>
        </w:rPr>
        <w:t>坚持问题导向，加强风险研判，紧盯重点时段、重点风险</w:t>
      </w:r>
      <w:r>
        <w:rPr>
          <w:rFonts w:hint="eastAsia" w:ascii="Times New Roman" w:hAnsi="Times New Roman" w:cs="Times New Roman"/>
          <w:color w:val="auto"/>
          <w:szCs w:val="24"/>
          <w:lang w:val="en-US" w:eastAsia="zh-CN"/>
        </w:rPr>
        <w:t>领域</w:t>
      </w:r>
      <w:r>
        <w:rPr>
          <w:rFonts w:hint="default" w:ascii="Times New Roman" w:hAnsi="Times New Roman" w:cs="Times New Roman"/>
          <w:color w:val="auto"/>
          <w:szCs w:val="24"/>
        </w:rPr>
        <w:t>、企业关键岗位和重点设施设备，</w:t>
      </w:r>
      <w:r>
        <w:rPr>
          <w:rFonts w:hint="default" w:ascii="Times New Roman" w:hAnsi="Times New Roman" w:cs="Times New Roman"/>
        </w:rPr>
        <w:t>特别是发生过亡人生产安全责任事故、纳入失信惩戒名单、历次检查发现问题较多或者抗拒执法的企业，</w:t>
      </w:r>
      <w:r>
        <w:rPr>
          <w:rFonts w:hint="default" w:ascii="Times New Roman" w:hAnsi="Times New Roman" w:cs="Times New Roman"/>
          <w:color w:val="auto"/>
          <w:szCs w:val="24"/>
        </w:rPr>
        <w:t>有针对性地开展监督检查。对监督检查中发现的安全问题，要紧盯企业整改，对依法应当处罚的，要依法查处到位，发现存在的安全问题应当由其他有关部门进行处理的，应当及时移送其他有关部门。执法检查结束后，要督促被执法单位举一反三开展自查自改，以强有力的执法倒逼企业和企业相关负责人落实安全生产责任。</w:t>
      </w:r>
    </w:p>
    <w:p>
      <w:pPr>
        <w:pStyle w:val="26"/>
        <w:keepNext w:val="0"/>
        <w:keepLines w:val="0"/>
        <w:pageBreakBefore w:val="0"/>
        <w:widowControl w:val="0"/>
        <w:kinsoku/>
        <w:wordWrap/>
        <w:overflowPunct/>
        <w:topLinePunct w:val="0"/>
        <w:bidi w:val="0"/>
        <w:snapToGrid/>
        <w:spacing w:line="594" w:lineRule="exact"/>
        <w:ind w:firstLine="640"/>
        <w:jc w:val="both"/>
        <w:textAlignment w:val="auto"/>
        <w:rPr>
          <w:rFonts w:hint="eastAsia" w:ascii="方正仿宋_GBK" w:hAnsi="方正仿宋_GBK" w:eastAsia="方正仿宋_GBK" w:cs="方正仿宋_GBK"/>
        </w:rPr>
      </w:pPr>
      <w:r>
        <w:rPr>
          <w:rFonts w:hint="default" w:ascii="Times New Roman" w:hAnsi="Times New Roman" w:eastAsia="方正楷体_GBK" w:cs="Times New Roman"/>
        </w:rPr>
        <w:t>（三）规范执法行为，完善执法方式。</w:t>
      </w:r>
      <w:r>
        <w:rPr>
          <w:rFonts w:hint="default" w:ascii="Times New Roman" w:hAnsi="Times New Roman" w:cs="Times New Roman"/>
        </w:rPr>
        <w:t>坚持依法执法、规范公正文明执法，规范使用行政执法文书，严格执法流程，认真落实行政</w:t>
      </w:r>
      <w:r>
        <w:rPr>
          <w:rFonts w:hint="eastAsia" w:ascii="方正仿宋_GBK" w:hAnsi="方正仿宋_GBK" w:eastAsia="方正仿宋_GBK" w:cs="方正仿宋_GBK"/>
        </w:rPr>
        <w:t>执法“三项制度”，</w:t>
      </w:r>
      <w:r>
        <w:rPr>
          <w:rFonts w:hint="default" w:ascii="Times New Roman" w:hAnsi="Times New Roman" w:cs="Times New Roman"/>
        </w:rPr>
        <w:t>做到照单检查、系统录入、闭环管理；坚持执法与指导服务相结合，实</w:t>
      </w:r>
      <w:r>
        <w:rPr>
          <w:rFonts w:hint="eastAsia" w:ascii="方正仿宋_GBK" w:hAnsi="方正仿宋_GBK" w:eastAsia="方正仿宋_GBK" w:cs="方正仿宋_GBK"/>
        </w:rPr>
        <w:t>行“三位一体”执法模式，开展“说理式执法”，激发企业守法自觉，提升企业安全生产水平。落实行政处罚决定书和信用修复告知书同步送达制度，靶向治理涉企执法“重处罚、轻规谏”问题，引导企业健康发展。</w:t>
      </w:r>
    </w:p>
    <w:p>
      <w:pPr>
        <w:pStyle w:val="26"/>
        <w:keepNext w:val="0"/>
        <w:keepLines w:val="0"/>
        <w:pageBreakBefore w:val="0"/>
        <w:widowControl w:val="0"/>
        <w:kinsoku/>
        <w:wordWrap/>
        <w:overflowPunct/>
        <w:topLinePunct w:val="0"/>
        <w:bidi w:val="0"/>
        <w:snapToGrid/>
        <w:spacing w:line="594" w:lineRule="exact"/>
        <w:ind w:firstLine="640"/>
        <w:jc w:val="both"/>
        <w:textAlignment w:val="auto"/>
        <w:rPr>
          <w:rFonts w:hint="eastAsia" w:ascii="方正仿宋_GBK" w:hAnsi="方正仿宋_GBK" w:eastAsia="方正仿宋_GBK" w:cs="方正仿宋_GBK"/>
        </w:rPr>
      </w:pPr>
      <w:r>
        <w:rPr>
          <w:rFonts w:hint="default" w:ascii="Times New Roman" w:hAnsi="Times New Roman" w:eastAsia="方正楷体_GBK" w:cs="Times New Roman"/>
        </w:rPr>
        <w:t>（四）加强执法监督，加大曝光警示</w:t>
      </w:r>
      <w:r>
        <w:rPr>
          <w:rFonts w:hint="default" w:ascii="Times New Roman" w:hAnsi="Times New Roman" w:cs="Times New Roman"/>
        </w:rPr>
        <w:t>。贯彻落实《江苏省行政程序条例》《江苏省行政执法监督办法》，强化安全生产领域执法监督，及时纠正监管执法中存在的问题和不足。开展行政执法突出问题专项整治行动，规范行政执法行为，提升行政执法水平，持续优化法治化营商环境。加大警示曝光力度，对查处的重大和典型安全生产违法行为，要提炼形成典型案例上</w:t>
      </w:r>
      <w:r>
        <w:rPr>
          <w:rFonts w:hint="eastAsia" w:ascii="方正仿宋_GBK" w:hAnsi="方正仿宋_GBK" w:eastAsia="方正仿宋_GBK" w:cs="方正仿宋_GBK"/>
        </w:rPr>
        <w:t>报“互联网+执法”平台，积极运用新闻媒体进行集中曝光，充分发挥警示震慑效果，形成强大舆论氛围。</w:t>
      </w:r>
    </w:p>
    <w:p>
      <w:pPr>
        <w:keepNext w:val="0"/>
        <w:keepLines w:val="0"/>
        <w:pageBreakBefore w:val="0"/>
        <w:widowControl w:val="0"/>
        <w:kinsoku/>
        <w:wordWrap/>
        <w:overflowPunct/>
        <w:topLinePunct w:val="0"/>
        <w:autoSpaceDE w:val="0"/>
        <w:autoSpaceDN w:val="0"/>
        <w:bidi w:val="0"/>
        <w:adjustRightInd w:val="0"/>
        <w:snapToGrid/>
        <w:spacing w:line="594" w:lineRule="exact"/>
        <w:ind w:firstLine="632" w:firstLineChars="200"/>
        <w:contextualSpacing/>
        <w:jc w:val="both"/>
        <w:textAlignment w:val="auto"/>
        <w:rPr>
          <w:rFonts w:hint="default" w:ascii="Times New Roman" w:hAnsi="Times New Roman" w:eastAsia="方正仿宋_GBK" w:cs="Times New Roman"/>
        </w:rPr>
      </w:pPr>
      <w:r>
        <w:rPr>
          <w:rFonts w:hint="default" w:ascii="Times New Roman" w:hAnsi="Times New Roman" w:eastAsia="方正楷体_GBK" w:cs="Times New Roman"/>
          <w:spacing w:val="-2"/>
        </w:rPr>
        <w:t>（五）严明工作纪律，树立良好形象。</w:t>
      </w:r>
      <w:r>
        <w:rPr>
          <w:rFonts w:hint="default" w:ascii="Times New Roman" w:hAnsi="Times New Roman" w:eastAsia="方正仿宋_GBK" w:cs="Times New Roman"/>
        </w:rPr>
        <w:t>执法人员要自觉遵守廉洁</w:t>
      </w:r>
      <w:r>
        <w:rPr>
          <w:rFonts w:hint="eastAsia" w:eastAsia="方正仿宋_GBK" w:cs="Times New Roman"/>
          <w:lang w:val="en-US" w:eastAsia="zh-CN"/>
        </w:rPr>
        <w:t>纪律</w:t>
      </w:r>
      <w:r>
        <w:rPr>
          <w:rFonts w:hint="default" w:ascii="Times New Roman" w:hAnsi="Times New Roman" w:eastAsia="方正仿宋_GBK" w:cs="Times New Roman"/>
        </w:rPr>
        <w:t>各项规定，规范执法行为，坚持依法履职，做到规范公正文明执法；按要求穿着执法制式服装、规范佩戴执法标志，严肃仪容仪表及执法风纪，树立应急管理部门良好执法形象。</w:t>
      </w:r>
    </w:p>
    <w:p>
      <w:pPr>
        <w:pStyle w:val="32"/>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default" w:ascii="Times New Roman" w:hAnsi="Times New Roman" w:cs="Times New Roman"/>
          <w:lang w:val="en-US" w:eastAsia="zh-CN"/>
        </w:rPr>
        <w:sectPr>
          <w:footerReference r:id="rId3" w:type="default"/>
          <w:footnotePr>
            <w:numFmt w:val="decimalFullWidth"/>
          </w:footnotePr>
          <w:pgSz w:w="11906" w:h="16838"/>
          <w:pgMar w:top="1588" w:right="1531" w:bottom="1814" w:left="1531" w:header="851" w:footer="1588" w:gutter="0"/>
          <w:pgBorders w:offsetFrom="page">
            <w:top w:val="none" w:sz="0" w:space="0"/>
            <w:left w:val="none" w:sz="0" w:space="0"/>
            <w:bottom w:val="none" w:sz="0" w:space="0"/>
            <w:right w:val="none" w:sz="0" w:space="0"/>
          </w:pgBorders>
          <w:pgNumType w:fmt="decimal" w:start="1"/>
          <w:cols w:space="720" w:num="1"/>
          <w:docGrid w:type="lines" w:linePitch="610" w:charSpace="-849"/>
        </w:sectPr>
      </w:pPr>
    </w:p>
    <w:p>
      <w:pPr>
        <w:widowControl/>
        <w:spacing w:line="560" w:lineRule="exact"/>
        <w:jc w:val="left"/>
        <w:rPr>
          <w:rFonts w:hint="default" w:ascii="Times New Roman" w:hAnsi="Times New Roman" w:eastAsia="方正黑体_GBK" w:cs="Times New Roman"/>
          <w:b w:val="0"/>
          <w:bCs/>
          <w:color w:val="000000"/>
          <w:sz w:val="32"/>
          <w:szCs w:val="32"/>
          <w:lang w:val="en-US" w:eastAsia="zh-CN"/>
        </w:rPr>
      </w:pPr>
      <w:r>
        <w:rPr>
          <w:rFonts w:hint="default" w:ascii="Times New Roman" w:hAnsi="Times New Roman" w:eastAsia="方正黑体_GBK" w:cs="Times New Roman"/>
          <w:b w:val="0"/>
          <w:bCs/>
          <w:color w:val="000000"/>
          <w:sz w:val="32"/>
          <w:szCs w:val="32"/>
          <w:lang w:val="en-US" w:eastAsia="zh-CN"/>
        </w:rPr>
        <w:t>附件</w:t>
      </w:r>
      <w:bookmarkStart w:id="0" w:name="_GoBack"/>
      <w:bookmarkEnd w:id="0"/>
    </w:p>
    <w:tbl>
      <w:tblPr>
        <w:tblpPr w:leftFromText="180" w:rightFromText="180" w:vertAnchor="text" w:horzAnchor="page" w:tblpX="449" w:tblpY="594"/>
        <w:tblOverlap w:val="never"/>
        <w:tblW w:w="104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80"/>
        <w:gridCol w:w="2087"/>
        <w:gridCol w:w="3748"/>
        <w:gridCol w:w="1635"/>
        <w:gridCol w:w="2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10425" w:type="dxa"/>
            <w:gridSpan w:val="5"/>
            <w:tcBorders>
              <w:top w:val="nil"/>
              <w:left w:val="nil"/>
              <w:bottom w:val="nil"/>
              <w:right w:val="nil"/>
            </w:tcBorders>
            <w:shd w:val="clear"/>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bdr w:val="none" w:color="auto" w:sz="0" w:space="0"/>
                <w:lang w:val="en-US" w:eastAsia="zh-CN" w:bidi="ar"/>
              </w:rPr>
              <w:t>2025年计划企业名单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序号</w:t>
            </w:r>
          </w:p>
        </w:tc>
        <w:tc>
          <w:tcPr>
            <w:tcW w:w="2087"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执法主体</w:t>
            </w:r>
          </w:p>
        </w:tc>
        <w:tc>
          <w:tcPr>
            <w:tcW w:w="3748"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企业名称</w:t>
            </w:r>
          </w:p>
        </w:tc>
        <w:tc>
          <w:tcPr>
            <w:tcW w:w="163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行业</w:t>
            </w:r>
          </w:p>
        </w:tc>
        <w:tc>
          <w:tcPr>
            <w:tcW w:w="217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执法检查部门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江苏日御光伏新材料科技有限公司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无锡东恒新能源科技有限公司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积高电子（无锡）有限公司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无锡华阳科技有限公司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无锡天和电子有限公司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无锡双邦钢材制品有限公司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无锡威达智能电子股份有限公司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无锡明丽雅针织时装有限公司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无锡易和精机科技有限公司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无锡杰夫机械科技有限公司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江苏华英阀业有限公司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无锡三广众成精工科技有限公司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无锡科洱电子科技有限公司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利晶微电子技术（江苏）有限公司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无锡奥夫特光学技术有限公司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无锡市群兴化工设备有限公司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无锡百祺电子科技有限公司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无锡中立电子科技有限公司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无锡展硕科技有限公司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无锡市红光标牌有限公司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无锡中安工程设备制造有限公司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无锡汇田水务科技有限公司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无锡香味嘉食品有限公司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恩纳基智能科技无锡有限公司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无锡太平针织有限公司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无锡市城市道桥科技有限公司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雄伟精密工业集团有限公司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东方空间（江苏）航天动力有限公司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氦星光联（无锡）航天有限公司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无锡迈普科技有限公司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江苏车能科技有限公司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安全生产基础科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中国石化销售有限公司江苏无锡盛岸路加油站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无锡市中油销售有限公司北门加油站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无锡市大通物流有限责任公司欧风加油站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中国石化销售有限公司江苏无锡广益路加油站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无锡客运有限公司中北加油站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中国石油天然气股份有限公司江苏无锡扬名加油站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无锡市金匮加油站有限公司</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无锡国文加油站管理有限公司锡虞加油站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无锡联运有限责任公司庄前加油站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中国石化销售有限公司江苏无锡黄巷加油站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无锡市周山浜加油站有限公司</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中国石化销售有限公司江苏无锡红星加油站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无锡葆寿堂药业有限公司</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无锡聿丰国际贸易有限公司</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中国石化销售股份有限公司江苏无锡会西加油站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中国石化销售股份有限公司江苏无锡岳皇加油站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中国石化销售股份有限公司江苏无锡山北加油站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无锡市润和油品销售有限公司</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中国石化销售股份有限公司江苏无锡广瑞加油站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中国石化销售股份有限公司江苏无锡凤吟加油站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中国石化销售股份有限公司江苏无锡向阳加油站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中国石化销售股份有限公司江苏无锡锡沪路加油站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中国石化销售股份有限公司江苏无锡尤渡加油站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中国石油天然气股份有限公司江苏无锡通沙路加油站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中石化壳牌（江苏）石油销售有限公司无锡广益加油站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中国石化销售股份有限公司江苏无锡运河西路加油站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中石化壳牌（江苏）石油销售有限公司无锡清扬加油站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中国石化销售股份有限公司江苏无锡运河加油站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中国石油天然气股份有限公司江苏无锡青石路便利加油点</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中石化壳牌（江苏）石油销售有限公司无锡锡澄加油站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中国石油天然气股份有限公司江苏无锡运河西路北便利加油点</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0" w:hRule="atLeast"/>
        </w:trPr>
        <w:tc>
          <w:tcPr>
            <w:tcW w:w="7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w:t>
            </w:r>
          </w:p>
        </w:tc>
        <w:tc>
          <w:tcPr>
            <w:tcW w:w="208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中石化壳牌（江苏）石油销售有限公司无锡塘南加油站</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危险化学品安全监督管理科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无锡市安澜安全技术培训有限公司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中介机构</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法规宣教科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无锡芯坤电子科技有限公司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无锡霍德电子有限公司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无锡市北塘区利辉电器厂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无锡市枫豪电子科技有限公司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无锡盈顿进出口贸易有限公司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无锡市三华科技有限公司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无锡理衍工业自动化有限公司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无锡市苏锡机床制造有限公司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无锡湃泰电子材料科技有限公司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江苏七维测试技术有限公司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无锡康鼎科技有限公司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无锡普特立轴承科技有限公司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无锡露一手食品有限公司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无锡爱丽丝时装有限公司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无锡贝斯美精密机械制造有限公司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无锡市金禾环保工程有限公司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无锡鸿睿电子科技有限公司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无锡必创传感科技有限公司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无锡市扬凯传动机械有限公司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无锡永讯半导体设备科技有限公司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无锡成功旗帜有限公司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无锡市湖波电器有限公司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无锡灵昌机械制造有限公司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无锡意美浩科技有限公司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无锡振均电子科技有限公司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无锡吉永电子科技有限公司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无锡兆立精密机械有限公司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无锡浩平科技有限公司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无锡市斌悦机械科技有限公司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无锡市西新印刷有限公司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无锡南洋电器成套设备有限公司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无锡市蠡园电子化工设备有限公司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无锡阿莉莎时装有限公司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无锡卡斯迪尔科技有限公司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无锡奥科电子设备有限公司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无锡市英福电气有限公司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无锡太湖无油轴承有限公司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无锡金合精密机械有限公司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无锡元意达科技有限公司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无锡捷荣精密机械有限公司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无锡市奕隆印刷有限公司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无锡宏丰达自动化科技有限公司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无锡星语缘餐饮管理有限公司塘南分公司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江苏省纺织研究所股份有限公司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无锡市英格弹性元件科技有限公司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梁溪区天顺广告材料经营部</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无锡市旗能包装科技有限公司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无锡灵誉杰机械制造有限公司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无锡市扬名电热电器厂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无锡晶雅飞商贸有限公司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无锡诺和精密机械有限公司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无锡市创开塑料制品有限公司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无锡市云感科技股份有限公司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无锡市通达地质探矿机械厂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无锡市美极超声设备有限公司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无锡通力纺机科技有限公司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无锡众测传感器技术有限公司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无锡永友电子有限公司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无锡卓尔阀业有限公司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无锡左右精密机械有限公司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无锡玮睿纺织科技有限公司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无锡市新乐电气有限责任公司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无锡金尔马科技有限公司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无锡泽晴自动化有限公司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无锡昆成新材料科技有限公司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无锡市凯丰压力表有限公司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无锡杰程光电有限公司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盛吉盛半导体科技（无锡）有限公司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无锡市兰辉超声电子设备厂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无锡市三爱电器有限公司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江苏奥坤仪表科技有限公司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迈道纳机械科技（无锡）有限公司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江苏新智达新能源设备有限公司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无锡市永安电子科技有限公司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无锡美展欧纺织品有限公司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江苏艾匹克半导体设备有限公司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无锡市蓝虹电子有限公司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无锡瀚明电器科技有限公司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无锡市思瑞福印刷有限公司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无锡嘉森真空科技有限公司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无锡市龙军电力电器设备有限公司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无锡时和安全设备有限公司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无锡市蓝卡净化设备技术有限公司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无锡市杰蒂诺自动化设备有限公司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中机试验装备（江苏）有限公司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无锡市拉贝橡塑制品有限公司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无锡市东升印务有限公司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无锡丽荣工贸有限公司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无锡市万得福纺织品有限公司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无锡市神马量仪有限公司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无锡市汉克森过滤设备有限公司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无锡颂意纺织服饰有限公司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无锡博杰精密机械有限公司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无锡惠顺染织有限公司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无锡市隆烨电子有限公司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无锡润彩广告制作有限公司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无锡控为自动化科技有限公司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无锡市康斯泰科技股份有限公司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海通尚宇智能制造科技(无锡)有限公司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无锡峰盼静音门窗有限公司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无锡巩固机械有限公司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江苏远力科技有限公司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无锡威尔鑫精密机械有限公司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无锡凌意精密金属制品有限公司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易唯思智能自动化装备无锡有限公司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无锡欧拓自动化科技有限公司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无锡市欧凯智能科技有限公司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无锡鑫利达包装材料有限公司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无锡展尔机械科技有限公司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喜服科技（无锡）有限公司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无锡梓测拓新计量科技有限公司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江苏容方半导体科技有限公司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博睿智创科技(无锡)有限公司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无锡杰圣特过滤器材有限公司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无锡莱博纳电子科技有限公司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无锡捷恩斯机械制造有限公司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艾德斯汽车电机无锡有限公司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无锡市聚成源食品生产有限责任公司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无锡翠泽园食品工业有限公司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无锡市龙立模具有限公司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无锡市双羽恒科技新材料有限公司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无锡伊斯曼科技有限公司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无锡亿岷豪金属制品有限公司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无锡市明之瑞机电设备有限公司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无锡市新珠工贸有限公司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无锡俐莱科技有限公司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执法大队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无锡倍安特新材料科技有限公司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无锡景辉材料科技有限公司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无锡国联进出口有限公司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无锡润达化学品有限公司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无锡市威龙电子通讯设备有限公司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无锡崇蝠房产开发有限公司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无锡锡上商业运营管理有限公司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无锡顺华化工贸易有限公司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无锡八佰伴商业管理有限公司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无锡显祖科技有限公司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无锡三阳百盛广场有限公司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无锡从头越化工有限公司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无锡市法姆商贸进出口有限公司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无锡中德置业有限公司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无锡鼎泰化工有限公司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无锡红豆商业管理有限公司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无锡市诺尔德物资有限公司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无锡凯途生物技术有限公司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无锡苏宁商业管理有限公司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无锡格林达国际贸易有限公司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无锡市华东化学试剂有限公司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无锡胜利门苏宁云商销售有限公司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无锡市旌韵弘贸易有限公司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无锡市崇安区迎新印刷有限公司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中石化壳牌（江苏）石油销售有限公司无锡锡惠加油站</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捷特姆新材料（无锡）有限公司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无锡安吉特商贸有限公司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崇安寺街道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无锡市天尔泰环保科技有限公司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无锡市联合恒洲化工有限公司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无锡凯硕石油化工有限公司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无锡凯乐孚新材料科技有限公司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无锡汇申化工有限公司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无锡市海邦化工贸易有限公司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江苏金顺气体科技有限公司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江苏元发超能化工科技有限公司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无锡中严科化工有限公司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无锡市政帆商贸有限公司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无锡市恒耀化工有限公司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无锡市云达化工有限公司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无锡市南长化学试剂有限公司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江苏德特化工贸易有限公司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无锡沃泰水处理技术服务有限公司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无锡来氟金化工科技有限公司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无锡安利达气体有限公司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无锡金威而化工有限公司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无锡百嘉兴化工有限公司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无锡市逸琪飞化工有限公司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无锡市锦世华贸易有限公司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元嘉能源（无锡）有限公司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清名桥街道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无锡湖光北方专用设备有限公司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无锡博化化工产品有限公司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无锡市科兴试剂仪器设备有限公司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无锡湖景实验仪器有限公司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无锡湖光北方光电有限公司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无锡金丽洁国际贸易有限公司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无锡互联贸易有限公司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无锡市万成制冷机电设备有限公司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无锡锡新医药有限公司滨湖分公司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无锡长旭科技有限公司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无锡洪良环保科技有限公司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无锡市新特化工试剂有限公司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无锡市伟安装饰建材有限公司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无锡市康衡化学品有限公司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无锡市惠山泥人厂有限责任公司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惠山街道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无锡惠工丝印材料有限公司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无锡市景华山化工有限公司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无锡市鹿城化学品有限公司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无锡市人民医疗器械有限公司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无锡市申达玻璃仪器有限公司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无锡市苏创试剂仪器设备有限公司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无锡市新宇包装材料有限公司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无锡诚引开和商贸有限公司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无锡吴桥科技有限公司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无锡德荣化工有限公司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无锡太极国际贸易有限公司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无锡嘉拓化工产品有限公司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无锡市虹牌涂料有限公司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无锡爱菲特化工原料有限公司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无锡隆运翔能源有限公司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无锡金鸿印刷有限公司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北大街街道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无锡市蓝宇实业有限公司上马墩服饰分公司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无锡市雨灵制衣厂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无锡市锡山精艺模具有限公司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无锡市塔影彩印有限公司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无锡市苏宇服装有限公司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无锡市群毅精工机械有限公司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无锡市吉族服饰有限公司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无锡市吉达汽车内饰件有限公司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无锡市衡器厂有限公司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无锡市飞龙织带有限公司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无锡市馥润食品有限公司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沙文曼（无锡）智能装备有限公司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无锡市梁溪电子控制器有限公司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梁溪区百源冷库租赁服务部</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无锡市亚凯乐涂料有限公司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朗正达化工（无锡）有限公司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无锡海泰化学品有限公司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无锡市毓麟化工产品有限公司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无锡康贝尔化工贸易有限公司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无锡盛斯源化工有限公司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无锡市新荣化工有限公司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无锡东顺化工有限公司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无锡水素化工科技有限公司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无锡百施特化工有限公司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广益街道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无锡奇意迅通机械有限公司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无锡瑞元通机械制造有限公司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无锡澳凯测电子有限公司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无锡鑫恒基机械科技有限公司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无锡典硕电子科技有限公司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日拓电子（无锡）有限公司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无锡泰格气动技术有限公司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无锡中幸时装有限公司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无锡市新远机电精密制造有限公司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无锡市芦庄仪表弹性元件有限公司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无锡振鑫机床包装有限公司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无锡市昕尔美光电科技有限公司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无锡环威科技有限公司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无锡威科特自动化科技有限公司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无锡煌佳石化设备有限公司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无锡联合汽车用品有限公司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无锡市精之业包装材料有限公司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无锡市亿繁吸塑有限公司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无锡西佩意电子有限公司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无锡国盛生物工程股份有限公司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思德科科技（无锡）有限公司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无锡市美源金属制品有限公司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无锡市圣友时装有限公司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无锡市精必达工业科技有限公司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无锡市欧博机械有限公司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无锡市金和轴承有限公司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无锡云隼科技有限公司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无锡民和机械制造有限公司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无锡泰科勒精密机械有限公司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无锡良铎机械有限公司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无锡恒固煤矿机械有限公司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无锡市飞麟电气设备有限公司江南分公司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无锡市华科仪器仪表有限公司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无锡大度科技有限公司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无锡市美加美家家具有限公司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无锡市田源绿色气体有限公司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无锡创佳研科技有限公司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无锡朋兴佳机械科技有限公司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无锡辰源机械设备有限公司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无锡新恒光源材料有限公司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扬名街道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无锡市会龙锻造机械有限公司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无锡市秋鸿制衣有限公司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无锡研平电子科技有限公司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无锡市建宾纺织提花器材有限公司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无锡市晶科电气有限公司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无锡金棵伟业真空镀膜有限公司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无锡呈龙管业有限公司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无锡海应合兴机械有限公司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旋实机械制造无锡有限公司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无锡源顺塑料制品有限公司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无锡市诚信纸制品厂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无锡红牛机电科技有限公司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无锡市渝盛颖科技有限公司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无锡市捷瑞科技有限公司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久菱科技无锡有限公司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无锡市禄扬春食品科技有限公司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无锡美耐达牙科技术有限公司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无锡市华冶发动机专件有限公司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无锡市久川机械设备有限公司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无锡市哈克逊工贸有限公司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无锡市妙光炫彩包装印刷厂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无锡迪欧科技有限公司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汉驱（无锡）汽车科技有限公司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无锡动视宫原科技有限公司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无锡市中科实验仪器有限公司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无锡奥菲得机械科技有限公司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无锡市苏德试验设备有限公司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无锡铭航电液伺服技术有限公司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无锡全友智能科技有限公司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无锡宇通机电设备有限公司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博美芯电子科技（无锡）有限公司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黑马三维科技（无锡）有限公司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无锡市意尔达试验设备制造有限公司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无锡市协友机械制造有限公司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梁溪区海老大服饰所</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山北街道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江苏南方机电有限股份公司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无锡市新惠压铸有限责任公司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无锡市惠山印刷厂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无锡市长灵器件有限公司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无锡市子航服装有限公司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无锡红豆女装有限公司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无锡凯彦职业服饰设计有限公司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无锡市永乐食品有限公司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无锡市日昌印刷有限公司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无锡微码广告传媒有限公司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无锡市北塘区黄巷五金厂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无锡都信测量技术有限公司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无锡市万言针织品服装有限公司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无锡市凯灵电泵厂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无锡鹰煌机械制造有限公司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无锡强赟金属制品有限公司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无锡市歌尔德温控设备有限公司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无锡市大同印刷有限公司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无锡市康裕电器元件厂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无锡市嘉豪印刷有限公司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无锡市汇邦电子科技有限公司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无锡威鹰服装有限公司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无锡刘潭服装有限公司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无锡加利体育用品有限公司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梁溪区盛装服装店</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江门东洋油墨有限公司无锡分公司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江苏正弘新材料有限公司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无锡渤林电子材料有限公司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无锡朝晖化工有限公司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无锡市易迪特防腐工程有限公司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黄巷街道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无锡市万锋电子变压器厂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无锡市好三品香料调味品厂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无锡市东亚泵业有限公司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无锡市凯驰电气有限公司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无锡市华兴标准件有限公司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无锡市炳海标准件厂</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江苏合吉烟用材料有限公司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407</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无锡赛奇精密机械有限公司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408</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无锡市海通印刷有限公司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409</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无锡市光明刀具有限公司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410</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无锡市润祥电镀物资有限公司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411</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无锡市信飞拓表面处理材料有限公司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412</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无锡市绿叶化工有限公司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413</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无锡市德云化工原料有限公司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414</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无锡市格致物贸有限公司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415</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无锡市金筑星化工科技有限公司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危险化学品</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416</w:t>
            </w:r>
          </w:p>
        </w:tc>
        <w:tc>
          <w:tcPr>
            <w:tcW w:w="208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梁溪区应急管理局</w:t>
            </w:r>
          </w:p>
        </w:tc>
        <w:tc>
          <w:tcPr>
            <w:tcW w:w="374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无锡市华适皮件有限公司</w:t>
            </w:r>
          </w:p>
        </w:tc>
        <w:tc>
          <w:tcPr>
            <w:tcW w:w="16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冶金等工贸</w:t>
            </w:r>
          </w:p>
        </w:tc>
        <w:tc>
          <w:tcPr>
            <w:tcW w:w="21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瞻江街道</w:t>
            </w:r>
          </w:p>
        </w:tc>
      </w:tr>
    </w:tbl>
    <w:p>
      <w:pPr>
        <w:keepNext w:val="0"/>
        <w:keepLines w:val="0"/>
        <w:pageBreakBefore w:val="0"/>
        <w:widowControl w:val="0"/>
        <w:kinsoku/>
        <w:overflowPunct/>
        <w:topLinePunct w:val="0"/>
        <w:autoSpaceDE/>
        <w:autoSpaceDN/>
        <w:bidi w:val="0"/>
        <w:adjustRightInd/>
        <w:snapToGrid/>
        <w:spacing w:line="594" w:lineRule="exact"/>
        <w:jc w:val="center"/>
        <w:textAlignment w:val="auto"/>
        <w:rPr>
          <w:rFonts w:hint="default" w:ascii="Times New Roman" w:hAnsi="Times New Roman" w:eastAsia="方正仿宋_GBK" w:cs="Times New Roman"/>
        </w:rPr>
      </w:pPr>
    </w:p>
    <w:sectPr>
      <w:headerReference r:id="rId4" w:type="default"/>
      <w:footerReference r:id="rId5" w:type="default"/>
      <w:footnotePr>
        <w:numFmt w:val="decimalFullWidth"/>
      </w:footnotePr>
      <w:pgSz w:w="11906" w:h="16838"/>
      <w:pgMar w:top="1588" w:right="1531" w:bottom="1814" w:left="1531" w:header="851" w:footer="1588" w:gutter="0"/>
      <w:pgBorders w:offsetFrom="page">
        <w:top w:val="none" w:sz="0" w:space="0"/>
        <w:left w:val="none" w:sz="0" w:space="0"/>
        <w:bottom w:val="none" w:sz="0" w:space="0"/>
        <w:right w:val="none" w:sz="0" w:space="0"/>
      </w:pgBorders>
      <w:pgNumType w:fmt="decimal" w:start="1"/>
      <w:cols w:space="720" w:num="1"/>
      <w:docGrid w:type="lines" w:linePitch="61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91D97398-645A-49C4-9359-3498990A04B3}"/>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E0000" w:usb2="00000000" w:usb3="00000000" w:csb0="00040000" w:csb1="00000000"/>
    <w:embedRegular r:id="rId2" w:fontKey="{C9E73A26-2787-48BA-BCA6-BBEA97021BAA}"/>
  </w:font>
  <w:font w:name="方正黑体_GBK">
    <w:panose1 w:val="03000509000000000000"/>
    <w:charset w:val="86"/>
    <w:family w:val="auto"/>
    <w:pitch w:val="default"/>
    <w:sig w:usb0="00000001" w:usb1="080E0000" w:usb2="00000000" w:usb3="00000000" w:csb0="00040000" w:csb1="00000000"/>
    <w:embedRegular r:id="rId3" w:fontKey="{23C9B35A-035A-4575-9187-E0A0B923EB2F}"/>
  </w:font>
  <w:font w:name="方正小标宋_GBK">
    <w:panose1 w:val="02000000000000000000"/>
    <w:charset w:val="86"/>
    <w:family w:val="auto"/>
    <w:pitch w:val="default"/>
    <w:sig w:usb0="00000001" w:usb1="080E0000" w:usb2="00000000" w:usb3="00000000" w:csb0="00040000" w:csb1="00000000"/>
    <w:embedRegular r:id="rId4" w:fontKey="{D5A5C4DE-AC65-4112-A016-063C298FBC86}"/>
  </w:font>
  <w:font w:name="微软雅黑">
    <w:panose1 w:val="020B0503020204020204"/>
    <w:charset w:val="86"/>
    <w:family w:val="auto"/>
    <w:pitch w:val="default"/>
    <w:sig w:usb0="80000287" w:usb1="2ACF3C50" w:usb2="00000016" w:usb3="00000000" w:csb0="0004001F" w:csb1="00000000"/>
    <w:embedRegular r:id="rId5" w:fontKey="{15757CAD-6F78-41FC-8D04-0FB9E7AF9DFD}"/>
  </w:font>
  <w:font w:name="方正楷体_GBK">
    <w:panose1 w:val="03000509000000000000"/>
    <w:charset w:val="86"/>
    <w:family w:val="auto"/>
    <w:pitch w:val="default"/>
    <w:sig w:usb0="00000001" w:usb1="080E0000" w:usb2="00000000" w:usb3="00000000" w:csb0="00040000" w:csb1="00000000"/>
    <w:embedRegular r:id="rId6" w:fontKey="{AC8E02C2-377F-47A3-B2CE-885ADD0F54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Style w:val="17"/>
                              <w:sz w:val="28"/>
                            </w:rPr>
                          </w:pPr>
                          <w:r>
                            <w:rPr>
                              <w:rStyle w:val="17"/>
                              <w:sz w:val="28"/>
                            </w:rPr>
                            <w:t xml:space="preserve">－ </w:t>
                          </w:r>
                          <w:r>
                            <w:rPr>
                              <w:sz w:val="28"/>
                            </w:rPr>
                            <w:fldChar w:fldCharType="begin"/>
                          </w:r>
                          <w:r>
                            <w:rPr>
                              <w:rStyle w:val="17"/>
                              <w:sz w:val="28"/>
                            </w:rPr>
                            <w:instrText xml:space="preserve">PAGE  </w:instrText>
                          </w:r>
                          <w:r>
                            <w:rPr>
                              <w:sz w:val="28"/>
                            </w:rPr>
                            <w:fldChar w:fldCharType="separate"/>
                          </w:r>
                          <w:r>
                            <w:rPr>
                              <w:rStyle w:val="17"/>
                              <w:sz w:val="28"/>
                            </w:rPr>
                            <w:t>19</w:t>
                          </w:r>
                          <w:r>
                            <w:rPr>
                              <w:sz w:val="28"/>
                            </w:rPr>
                            <w:fldChar w:fldCharType="end"/>
                          </w:r>
                          <w:r>
                            <w:rPr>
                              <w:rStyle w:val="17"/>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9"/>
                      <w:rPr>
                        <w:rStyle w:val="17"/>
                        <w:sz w:val="28"/>
                      </w:rPr>
                    </w:pPr>
                    <w:r>
                      <w:rPr>
                        <w:rStyle w:val="17"/>
                        <w:sz w:val="28"/>
                      </w:rPr>
                      <w:t xml:space="preserve">－ </w:t>
                    </w:r>
                    <w:r>
                      <w:rPr>
                        <w:sz w:val="28"/>
                      </w:rPr>
                      <w:fldChar w:fldCharType="begin"/>
                    </w:r>
                    <w:r>
                      <w:rPr>
                        <w:rStyle w:val="17"/>
                        <w:sz w:val="28"/>
                      </w:rPr>
                      <w:instrText xml:space="preserve">PAGE  </w:instrText>
                    </w:r>
                    <w:r>
                      <w:rPr>
                        <w:sz w:val="28"/>
                      </w:rPr>
                      <w:fldChar w:fldCharType="separate"/>
                    </w:r>
                    <w:r>
                      <w:rPr>
                        <w:rStyle w:val="17"/>
                        <w:sz w:val="28"/>
                      </w:rPr>
                      <w:t>19</w:t>
                    </w:r>
                    <w:r>
                      <w:rPr>
                        <w:sz w:val="28"/>
                      </w:rPr>
                      <w:fldChar w:fldCharType="end"/>
                    </w:r>
                    <w:r>
                      <w:rPr>
                        <w:rStyle w:val="17"/>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58"/>
  <w:drawingGridVerticalSpacing w:val="305"/>
  <w:displayHorizontalDrawingGridEvery w:val="1"/>
  <w:displayVerticalDrawingGridEvery w:val="1"/>
  <w:noPunctuationKerning w:val="1"/>
  <w:characterSpacingControl w:val="compressPunctuation"/>
  <w:doNotValidateAgainstSchema/>
  <w:doNotDemarcateInvalidXml/>
  <w:footnotePr>
    <w:numFmt w:val="decimalFullWidth"/>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zYzI4MjE5ZGQ3YTA5YmVjOTM5NTE4NDk3YTc5ZmMifQ=="/>
  </w:docVars>
  <w:rsids>
    <w:rsidRoot w:val="00172A27"/>
    <w:rsid w:val="00012F4C"/>
    <w:rsid w:val="00020B56"/>
    <w:rsid w:val="00022917"/>
    <w:rsid w:val="00026D31"/>
    <w:rsid w:val="000431B8"/>
    <w:rsid w:val="00050CCC"/>
    <w:rsid w:val="0005114F"/>
    <w:rsid w:val="000626DA"/>
    <w:rsid w:val="00067667"/>
    <w:rsid w:val="000746E5"/>
    <w:rsid w:val="00081418"/>
    <w:rsid w:val="000950EA"/>
    <w:rsid w:val="000B49EA"/>
    <w:rsid w:val="000C1FF5"/>
    <w:rsid w:val="000E5718"/>
    <w:rsid w:val="000F002C"/>
    <w:rsid w:val="00104011"/>
    <w:rsid w:val="00104496"/>
    <w:rsid w:val="00105C6C"/>
    <w:rsid w:val="001347E7"/>
    <w:rsid w:val="00145F93"/>
    <w:rsid w:val="001520DE"/>
    <w:rsid w:val="00162820"/>
    <w:rsid w:val="00174016"/>
    <w:rsid w:val="00181D9C"/>
    <w:rsid w:val="00187F7F"/>
    <w:rsid w:val="00194D2C"/>
    <w:rsid w:val="001A7AAE"/>
    <w:rsid w:val="001B593E"/>
    <w:rsid w:val="001D3A50"/>
    <w:rsid w:val="001F00A0"/>
    <w:rsid w:val="001F719E"/>
    <w:rsid w:val="002174B1"/>
    <w:rsid w:val="00231AB1"/>
    <w:rsid w:val="0023757A"/>
    <w:rsid w:val="00252A15"/>
    <w:rsid w:val="00261AE3"/>
    <w:rsid w:val="00266D39"/>
    <w:rsid w:val="00272B9B"/>
    <w:rsid w:val="002732B5"/>
    <w:rsid w:val="002756B4"/>
    <w:rsid w:val="00280A69"/>
    <w:rsid w:val="002A3B06"/>
    <w:rsid w:val="002C6CBB"/>
    <w:rsid w:val="002D2043"/>
    <w:rsid w:val="002D43DC"/>
    <w:rsid w:val="002F12C3"/>
    <w:rsid w:val="002F1342"/>
    <w:rsid w:val="00313397"/>
    <w:rsid w:val="003548C4"/>
    <w:rsid w:val="003A2DF8"/>
    <w:rsid w:val="003A300A"/>
    <w:rsid w:val="003A6CE3"/>
    <w:rsid w:val="00402AD3"/>
    <w:rsid w:val="004213C5"/>
    <w:rsid w:val="00430FD0"/>
    <w:rsid w:val="00432B55"/>
    <w:rsid w:val="00442921"/>
    <w:rsid w:val="004B013A"/>
    <w:rsid w:val="004C088C"/>
    <w:rsid w:val="004C3032"/>
    <w:rsid w:val="004D74FE"/>
    <w:rsid w:val="004F1B23"/>
    <w:rsid w:val="00502E7D"/>
    <w:rsid w:val="00505166"/>
    <w:rsid w:val="00530879"/>
    <w:rsid w:val="00547158"/>
    <w:rsid w:val="00565E0B"/>
    <w:rsid w:val="005C4C09"/>
    <w:rsid w:val="005E465A"/>
    <w:rsid w:val="005F7813"/>
    <w:rsid w:val="00601AC7"/>
    <w:rsid w:val="00610FFF"/>
    <w:rsid w:val="006156D7"/>
    <w:rsid w:val="00623F29"/>
    <w:rsid w:val="00626014"/>
    <w:rsid w:val="00626CF2"/>
    <w:rsid w:val="006442A2"/>
    <w:rsid w:val="00670C19"/>
    <w:rsid w:val="00674792"/>
    <w:rsid w:val="006A4071"/>
    <w:rsid w:val="006A7439"/>
    <w:rsid w:val="006B518B"/>
    <w:rsid w:val="006B7E94"/>
    <w:rsid w:val="006C01B8"/>
    <w:rsid w:val="006C19BE"/>
    <w:rsid w:val="006C36DB"/>
    <w:rsid w:val="006C6B9B"/>
    <w:rsid w:val="006E2CB9"/>
    <w:rsid w:val="006E3EA3"/>
    <w:rsid w:val="006E5653"/>
    <w:rsid w:val="00703378"/>
    <w:rsid w:val="00756426"/>
    <w:rsid w:val="007567F7"/>
    <w:rsid w:val="00760D48"/>
    <w:rsid w:val="00773B74"/>
    <w:rsid w:val="0078234E"/>
    <w:rsid w:val="00785FA4"/>
    <w:rsid w:val="007A7460"/>
    <w:rsid w:val="007A7D2D"/>
    <w:rsid w:val="007B35E3"/>
    <w:rsid w:val="007C733B"/>
    <w:rsid w:val="007D5321"/>
    <w:rsid w:val="007E0A77"/>
    <w:rsid w:val="007E440E"/>
    <w:rsid w:val="007E7DD1"/>
    <w:rsid w:val="007F02EB"/>
    <w:rsid w:val="00814578"/>
    <w:rsid w:val="00837B23"/>
    <w:rsid w:val="00840D90"/>
    <w:rsid w:val="008419EA"/>
    <w:rsid w:val="00850377"/>
    <w:rsid w:val="00850DEB"/>
    <w:rsid w:val="008A3C9D"/>
    <w:rsid w:val="008A44EF"/>
    <w:rsid w:val="008A6349"/>
    <w:rsid w:val="008B4E57"/>
    <w:rsid w:val="008E6E7E"/>
    <w:rsid w:val="008F1578"/>
    <w:rsid w:val="008F7E75"/>
    <w:rsid w:val="00901BB9"/>
    <w:rsid w:val="00910414"/>
    <w:rsid w:val="00914601"/>
    <w:rsid w:val="00915AE6"/>
    <w:rsid w:val="009366B6"/>
    <w:rsid w:val="00937FF5"/>
    <w:rsid w:val="00945817"/>
    <w:rsid w:val="00951BAB"/>
    <w:rsid w:val="00972883"/>
    <w:rsid w:val="0097336D"/>
    <w:rsid w:val="009922EA"/>
    <w:rsid w:val="009925EC"/>
    <w:rsid w:val="009C2394"/>
    <w:rsid w:val="009D05A3"/>
    <w:rsid w:val="009D6FCA"/>
    <w:rsid w:val="00A32C40"/>
    <w:rsid w:val="00A465A9"/>
    <w:rsid w:val="00A507A0"/>
    <w:rsid w:val="00A56410"/>
    <w:rsid w:val="00A60757"/>
    <w:rsid w:val="00A6387E"/>
    <w:rsid w:val="00A928D6"/>
    <w:rsid w:val="00AA6EB9"/>
    <w:rsid w:val="00B059CF"/>
    <w:rsid w:val="00B22BC4"/>
    <w:rsid w:val="00B27D64"/>
    <w:rsid w:val="00B37A51"/>
    <w:rsid w:val="00B51CA1"/>
    <w:rsid w:val="00B67EF8"/>
    <w:rsid w:val="00B87E0F"/>
    <w:rsid w:val="00B94B42"/>
    <w:rsid w:val="00BB0888"/>
    <w:rsid w:val="00BC19B9"/>
    <w:rsid w:val="00BE2B60"/>
    <w:rsid w:val="00BF1992"/>
    <w:rsid w:val="00BF5DA3"/>
    <w:rsid w:val="00C002E7"/>
    <w:rsid w:val="00C3109D"/>
    <w:rsid w:val="00C3322B"/>
    <w:rsid w:val="00C424D5"/>
    <w:rsid w:val="00C465D7"/>
    <w:rsid w:val="00C526B1"/>
    <w:rsid w:val="00C54D6E"/>
    <w:rsid w:val="00C708FA"/>
    <w:rsid w:val="00C7569B"/>
    <w:rsid w:val="00C94D51"/>
    <w:rsid w:val="00C96053"/>
    <w:rsid w:val="00CB4AC9"/>
    <w:rsid w:val="00CB734C"/>
    <w:rsid w:val="00CC1809"/>
    <w:rsid w:val="00CE02F8"/>
    <w:rsid w:val="00CE1043"/>
    <w:rsid w:val="00CE76D0"/>
    <w:rsid w:val="00D17E7B"/>
    <w:rsid w:val="00D25C98"/>
    <w:rsid w:val="00D3514E"/>
    <w:rsid w:val="00D40744"/>
    <w:rsid w:val="00D43B34"/>
    <w:rsid w:val="00D614D1"/>
    <w:rsid w:val="00DA148A"/>
    <w:rsid w:val="00DC6BC5"/>
    <w:rsid w:val="00DE2B22"/>
    <w:rsid w:val="00E0388A"/>
    <w:rsid w:val="00E120C3"/>
    <w:rsid w:val="00E37CA1"/>
    <w:rsid w:val="00E46D24"/>
    <w:rsid w:val="00E515BE"/>
    <w:rsid w:val="00EB1B2D"/>
    <w:rsid w:val="00EC0C3F"/>
    <w:rsid w:val="00EC2361"/>
    <w:rsid w:val="00EF3016"/>
    <w:rsid w:val="00F24515"/>
    <w:rsid w:val="00F42A23"/>
    <w:rsid w:val="00F43399"/>
    <w:rsid w:val="00F63E92"/>
    <w:rsid w:val="00F63FD7"/>
    <w:rsid w:val="00F65F50"/>
    <w:rsid w:val="00F73AD2"/>
    <w:rsid w:val="00F8306B"/>
    <w:rsid w:val="00F961AF"/>
    <w:rsid w:val="00FA32F8"/>
    <w:rsid w:val="00FC1708"/>
    <w:rsid w:val="00FD76E3"/>
    <w:rsid w:val="00FF137E"/>
    <w:rsid w:val="01AE5EE7"/>
    <w:rsid w:val="01F33470"/>
    <w:rsid w:val="022305C4"/>
    <w:rsid w:val="0273635F"/>
    <w:rsid w:val="02DE5ECF"/>
    <w:rsid w:val="03F60FF6"/>
    <w:rsid w:val="043A7717"/>
    <w:rsid w:val="050209E8"/>
    <w:rsid w:val="0521774D"/>
    <w:rsid w:val="052E656D"/>
    <w:rsid w:val="05316FD6"/>
    <w:rsid w:val="065B3392"/>
    <w:rsid w:val="07061550"/>
    <w:rsid w:val="082533EE"/>
    <w:rsid w:val="084F33CB"/>
    <w:rsid w:val="086E74B5"/>
    <w:rsid w:val="08856DEC"/>
    <w:rsid w:val="089963F4"/>
    <w:rsid w:val="08D056E7"/>
    <w:rsid w:val="0969226A"/>
    <w:rsid w:val="09A80FE4"/>
    <w:rsid w:val="09AD65FB"/>
    <w:rsid w:val="09E33DCA"/>
    <w:rsid w:val="0ABF0394"/>
    <w:rsid w:val="0B5F56D3"/>
    <w:rsid w:val="0BC11EE9"/>
    <w:rsid w:val="0BFE313E"/>
    <w:rsid w:val="0C37664F"/>
    <w:rsid w:val="0C78288A"/>
    <w:rsid w:val="0CAE32F8"/>
    <w:rsid w:val="0D341093"/>
    <w:rsid w:val="0D533015"/>
    <w:rsid w:val="0D7F02AE"/>
    <w:rsid w:val="0DD405FA"/>
    <w:rsid w:val="0EC56195"/>
    <w:rsid w:val="0EDC703A"/>
    <w:rsid w:val="0F0951A9"/>
    <w:rsid w:val="10093E5F"/>
    <w:rsid w:val="101A42BE"/>
    <w:rsid w:val="10BE4C49"/>
    <w:rsid w:val="10F32008"/>
    <w:rsid w:val="10FB5E9E"/>
    <w:rsid w:val="11100696"/>
    <w:rsid w:val="113D08CD"/>
    <w:rsid w:val="1193257A"/>
    <w:rsid w:val="11B06C88"/>
    <w:rsid w:val="129739A4"/>
    <w:rsid w:val="13913519"/>
    <w:rsid w:val="139D323C"/>
    <w:rsid w:val="14DA6BD5"/>
    <w:rsid w:val="14F938F3"/>
    <w:rsid w:val="150317C5"/>
    <w:rsid w:val="150C5AA4"/>
    <w:rsid w:val="15A96BAD"/>
    <w:rsid w:val="16337E88"/>
    <w:rsid w:val="17463BEB"/>
    <w:rsid w:val="18100480"/>
    <w:rsid w:val="18B062F6"/>
    <w:rsid w:val="19287A4C"/>
    <w:rsid w:val="19397563"/>
    <w:rsid w:val="19550115"/>
    <w:rsid w:val="1A6C3952"/>
    <w:rsid w:val="1AA32E0D"/>
    <w:rsid w:val="1ACB4B33"/>
    <w:rsid w:val="1ADE4866"/>
    <w:rsid w:val="1AF01586"/>
    <w:rsid w:val="1BFA30EC"/>
    <w:rsid w:val="1C254546"/>
    <w:rsid w:val="1C4F3541"/>
    <w:rsid w:val="1CD87093"/>
    <w:rsid w:val="1D1502E7"/>
    <w:rsid w:val="1DAF6046"/>
    <w:rsid w:val="1DB47B00"/>
    <w:rsid w:val="1E594203"/>
    <w:rsid w:val="1E5F34E0"/>
    <w:rsid w:val="1FDA1374"/>
    <w:rsid w:val="20DB1848"/>
    <w:rsid w:val="21472A39"/>
    <w:rsid w:val="21543E5D"/>
    <w:rsid w:val="217D46AD"/>
    <w:rsid w:val="2186530F"/>
    <w:rsid w:val="219537A4"/>
    <w:rsid w:val="21E464DA"/>
    <w:rsid w:val="22590C76"/>
    <w:rsid w:val="22717D6E"/>
    <w:rsid w:val="22E5075C"/>
    <w:rsid w:val="231F3C6E"/>
    <w:rsid w:val="2338786B"/>
    <w:rsid w:val="240D7F6A"/>
    <w:rsid w:val="241430A6"/>
    <w:rsid w:val="24C658E8"/>
    <w:rsid w:val="25112763"/>
    <w:rsid w:val="25636F6C"/>
    <w:rsid w:val="2580476C"/>
    <w:rsid w:val="2736230D"/>
    <w:rsid w:val="27602AA7"/>
    <w:rsid w:val="276166A6"/>
    <w:rsid w:val="27D84B6C"/>
    <w:rsid w:val="27E92A9C"/>
    <w:rsid w:val="2899001E"/>
    <w:rsid w:val="28A644E9"/>
    <w:rsid w:val="299E494A"/>
    <w:rsid w:val="29BB5D72"/>
    <w:rsid w:val="29FD4D7A"/>
    <w:rsid w:val="2A2770E5"/>
    <w:rsid w:val="2A4A08BA"/>
    <w:rsid w:val="2A867383"/>
    <w:rsid w:val="2ACD283D"/>
    <w:rsid w:val="2B157704"/>
    <w:rsid w:val="2B5F70E0"/>
    <w:rsid w:val="2B940F71"/>
    <w:rsid w:val="2BE94E19"/>
    <w:rsid w:val="2BFF288E"/>
    <w:rsid w:val="2D855015"/>
    <w:rsid w:val="2E886799"/>
    <w:rsid w:val="2E8A6368"/>
    <w:rsid w:val="2E9F452D"/>
    <w:rsid w:val="2EB3498A"/>
    <w:rsid w:val="2EE33F95"/>
    <w:rsid w:val="2EF75A9F"/>
    <w:rsid w:val="2F13756B"/>
    <w:rsid w:val="2F3445FD"/>
    <w:rsid w:val="2F436F36"/>
    <w:rsid w:val="2FD47B8E"/>
    <w:rsid w:val="315C42DF"/>
    <w:rsid w:val="32096215"/>
    <w:rsid w:val="32A7158A"/>
    <w:rsid w:val="32EB1476"/>
    <w:rsid w:val="333472C1"/>
    <w:rsid w:val="33CC1032"/>
    <w:rsid w:val="3412087F"/>
    <w:rsid w:val="34307A9A"/>
    <w:rsid w:val="34337579"/>
    <w:rsid w:val="3442156A"/>
    <w:rsid w:val="348A2F11"/>
    <w:rsid w:val="34B166F0"/>
    <w:rsid w:val="34C55C0B"/>
    <w:rsid w:val="35E55382"/>
    <w:rsid w:val="368A369C"/>
    <w:rsid w:val="36AC716F"/>
    <w:rsid w:val="36EE3C2B"/>
    <w:rsid w:val="37D918E8"/>
    <w:rsid w:val="37F05781"/>
    <w:rsid w:val="386046B4"/>
    <w:rsid w:val="38BB18EB"/>
    <w:rsid w:val="38F55FA4"/>
    <w:rsid w:val="394915ED"/>
    <w:rsid w:val="396C0E37"/>
    <w:rsid w:val="39A22AAB"/>
    <w:rsid w:val="39AD3929"/>
    <w:rsid w:val="3A26548A"/>
    <w:rsid w:val="3A2B11A5"/>
    <w:rsid w:val="3A5B5BB7"/>
    <w:rsid w:val="3B304812"/>
    <w:rsid w:val="3B4F0A10"/>
    <w:rsid w:val="3B8E7126"/>
    <w:rsid w:val="3BBA0580"/>
    <w:rsid w:val="3BE90B1A"/>
    <w:rsid w:val="3C98521D"/>
    <w:rsid w:val="3D6469F5"/>
    <w:rsid w:val="3DCB25D0"/>
    <w:rsid w:val="3E5C547E"/>
    <w:rsid w:val="3E7B6F01"/>
    <w:rsid w:val="3EAA058E"/>
    <w:rsid w:val="3ED1033B"/>
    <w:rsid w:val="3F3B5533"/>
    <w:rsid w:val="401D732F"/>
    <w:rsid w:val="40B01F51"/>
    <w:rsid w:val="40CE4185"/>
    <w:rsid w:val="411C1395"/>
    <w:rsid w:val="42C910A8"/>
    <w:rsid w:val="43346E69"/>
    <w:rsid w:val="435C016E"/>
    <w:rsid w:val="439B0D3D"/>
    <w:rsid w:val="44692B43"/>
    <w:rsid w:val="447339C1"/>
    <w:rsid w:val="44780FD8"/>
    <w:rsid w:val="44B76D9E"/>
    <w:rsid w:val="44D85BF2"/>
    <w:rsid w:val="45244CBC"/>
    <w:rsid w:val="45350C77"/>
    <w:rsid w:val="454823FC"/>
    <w:rsid w:val="461C409C"/>
    <w:rsid w:val="463A5FDB"/>
    <w:rsid w:val="46494E27"/>
    <w:rsid w:val="479C322F"/>
    <w:rsid w:val="48A4239B"/>
    <w:rsid w:val="49272F80"/>
    <w:rsid w:val="4938192A"/>
    <w:rsid w:val="49D84A41"/>
    <w:rsid w:val="49F203C1"/>
    <w:rsid w:val="4A286FFC"/>
    <w:rsid w:val="4B292207"/>
    <w:rsid w:val="4B411659"/>
    <w:rsid w:val="4BBC63E0"/>
    <w:rsid w:val="4BC66ACD"/>
    <w:rsid w:val="4C1A40B9"/>
    <w:rsid w:val="4C1E4213"/>
    <w:rsid w:val="4D545D54"/>
    <w:rsid w:val="4D6420F9"/>
    <w:rsid w:val="4DA6390E"/>
    <w:rsid w:val="4DFA480C"/>
    <w:rsid w:val="4E473818"/>
    <w:rsid w:val="4E4B7A42"/>
    <w:rsid w:val="4F543254"/>
    <w:rsid w:val="4FB37368"/>
    <w:rsid w:val="4FCD042A"/>
    <w:rsid w:val="4FDB3B32"/>
    <w:rsid w:val="50874A7C"/>
    <w:rsid w:val="51CB0999"/>
    <w:rsid w:val="51D64325"/>
    <w:rsid w:val="51EC090F"/>
    <w:rsid w:val="522F51E3"/>
    <w:rsid w:val="52335D4A"/>
    <w:rsid w:val="52E361B6"/>
    <w:rsid w:val="531E2D4A"/>
    <w:rsid w:val="533B1B4E"/>
    <w:rsid w:val="55055F70"/>
    <w:rsid w:val="55C67DF5"/>
    <w:rsid w:val="568455BA"/>
    <w:rsid w:val="56A143BE"/>
    <w:rsid w:val="57881D4F"/>
    <w:rsid w:val="57C93BCD"/>
    <w:rsid w:val="57FD45B6"/>
    <w:rsid w:val="581F0241"/>
    <w:rsid w:val="586D44D8"/>
    <w:rsid w:val="58773DA0"/>
    <w:rsid w:val="58D06F50"/>
    <w:rsid w:val="59736FAA"/>
    <w:rsid w:val="59EE5F00"/>
    <w:rsid w:val="5BD25946"/>
    <w:rsid w:val="5BF3746A"/>
    <w:rsid w:val="5C897A02"/>
    <w:rsid w:val="5CE648D9"/>
    <w:rsid w:val="5CF64C99"/>
    <w:rsid w:val="5D612480"/>
    <w:rsid w:val="5DF94AE0"/>
    <w:rsid w:val="5E60690D"/>
    <w:rsid w:val="5E7F3237"/>
    <w:rsid w:val="5EB558FD"/>
    <w:rsid w:val="5EC92704"/>
    <w:rsid w:val="5FDA53D7"/>
    <w:rsid w:val="5FF03EC9"/>
    <w:rsid w:val="60D62EB6"/>
    <w:rsid w:val="61722BDF"/>
    <w:rsid w:val="61963B31"/>
    <w:rsid w:val="628D57F7"/>
    <w:rsid w:val="632919C3"/>
    <w:rsid w:val="634E1EB1"/>
    <w:rsid w:val="64370110"/>
    <w:rsid w:val="66DE2AC5"/>
    <w:rsid w:val="66FE4F15"/>
    <w:rsid w:val="67786039"/>
    <w:rsid w:val="67CF59B1"/>
    <w:rsid w:val="681F5143"/>
    <w:rsid w:val="69580238"/>
    <w:rsid w:val="6A8C6E05"/>
    <w:rsid w:val="6A941E18"/>
    <w:rsid w:val="6B4355EC"/>
    <w:rsid w:val="6B77103C"/>
    <w:rsid w:val="6B7F48F0"/>
    <w:rsid w:val="6BE50451"/>
    <w:rsid w:val="6BE75F78"/>
    <w:rsid w:val="6BEB1F0C"/>
    <w:rsid w:val="6CB944F1"/>
    <w:rsid w:val="6D521B17"/>
    <w:rsid w:val="6EB74327"/>
    <w:rsid w:val="703E5095"/>
    <w:rsid w:val="70CC2206"/>
    <w:rsid w:val="70D6163C"/>
    <w:rsid w:val="711F4406"/>
    <w:rsid w:val="712029B9"/>
    <w:rsid w:val="71850589"/>
    <w:rsid w:val="71B72167"/>
    <w:rsid w:val="72937E1D"/>
    <w:rsid w:val="729C5D47"/>
    <w:rsid w:val="732713BD"/>
    <w:rsid w:val="734F7A57"/>
    <w:rsid w:val="73747667"/>
    <w:rsid w:val="73AF7CC3"/>
    <w:rsid w:val="73ED2D52"/>
    <w:rsid w:val="74130252"/>
    <w:rsid w:val="76A669CC"/>
    <w:rsid w:val="771340C5"/>
    <w:rsid w:val="772B3B04"/>
    <w:rsid w:val="778E7BEF"/>
    <w:rsid w:val="77EE068E"/>
    <w:rsid w:val="77F21D92"/>
    <w:rsid w:val="783F49B8"/>
    <w:rsid w:val="784A0269"/>
    <w:rsid w:val="78CA4C57"/>
    <w:rsid w:val="790638CF"/>
    <w:rsid w:val="799040F2"/>
    <w:rsid w:val="7A097A01"/>
    <w:rsid w:val="7A776BA0"/>
    <w:rsid w:val="7A8372F2"/>
    <w:rsid w:val="7AA53BCD"/>
    <w:rsid w:val="7AD973D3"/>
    <w:rsid w:val="7AF1471D"/>
    <w:rsid w:val="7B1F572E"/>
    <w:rsid w:val="7B4F1153"/>
    <w:rsid w:val="7C7C270C"/>
    <w:rsid w:val="7CC83BA3"/>
    <w:rsid w:val="7D985324"/>
    <w:rsid w:val="7E6A3164"/>
    <w:rsid w:val="7E717826"/>
    <w:rsid w:val="7EA47CF8"/>
    <w:rsid w:val="7F233313"/>
    <w:rsid w:val="7F6510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16">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next w:val="4"/>
    <w:qFormat/>
    <w:uiPriority w:val="0"/>
    <w:pPr>
      <w:ind w:firstLine="643" w:firstLineChars="200"/>
    </w:pPr>
    <w:rPr>
      <w:rFonts w:ascii="仿宋_GB2312" w:eastAsia="仿宋_GB2312"/>
      <w:b/>
      <w:bCs/>
      <w:sz w:val="32"/>
      <w:szCs w:val="24"/>
    </w:rPr>
  </w:style>
  <w:style w:type="paragraph" w:styleId="4">
    <w:name w:val="Normal Indent"/>
    <w:basedOn w:val="1"/>
    <w:qFormat/>
    <w:uiPriority w:val="0"/>
    <w:pPr>
      <w:ind w:firstLine="420" w:firstLineChars="200"/>
    </w:pPr>
    <w:rPr>
      <w:rFonts w:eastAsia="仿宋"/>
      <w:sz w:val="32"/>
    </w:rPr>
  </w:style>
  <w:style w:type="paragraph" w:styleId="5">
    <w:name w:val="annotation text"/>
    <w:basedOn w:val="1"/>
    <w:qFormat/>
    <w:uiPriority w:val="0"/>
    <w:pPr>
      <w:jc w:val="left"/>
    </w:pPr>
  </w:style>
  <w:style w:type="paragraph" w:styleId="6">
    <w:name w:val="Body Text"/>
    <w:basedOn w:val="1"/>
    <w:qFormat/>
    <w:uiPriority w:val="0"/>
    <w:pPr>
      <w:widowControl/>
      <w:jc w:val="left"/>
    </w:pPr>
    <w:rPr>
      <w:kern w:val="0"/>
      <w:sz w:val="36"/>
      <w:szCs w:val="24"/>
    </w:rPr>
  </w:style>
  <w:style w:type="paragraph" w:styleId="7">
    <w:name w:val="Date"/>
    <w:basedOn w:val="1"/>
    <w:next w:val="1"/>
    <w:unhideWhenUsed/>
    <w:qFormat/>
    <w:uiPriority w:val="0"/>
    <w:pPr>
      <w:ind w:left="100" w:leftChars="2500"/>
    </w:pPr>
  </w:style>
  <w:style w:type="paragraph" w:styleId="8">
    <w:name w:val="Balloon Text"/>
    <w:basedOn w:val="1"/>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qFormat/>
    <w:uiPriority w:val="0"/>
    <w:pPr>
      <w:snapToGrid w:val="0"/>
    </w:pPr>
    <w:rPr>
      <w:sz w:val="18"/>
      <w:szCs w:val="18"/>
    </w:rPr>
  </w:style>
  <w:style w:type="paragraph" w:styleId="12">
    <w:name w:val="Normal (Web)"/>
    <w:basedOn w:val="1"/>
    <w:qFormat/>
    <w:uiPriority w:val="0"/>
    <w:pPr>
      <w:widowControl/>
      <w:spacing w:before="100" w:beforeLines="0" w:after="100" w:afterLines="0"/>
      <w:jc w:val="left"/>
    </w:pPr>
    <w:rPr>
      <w:rFonts w:ascii="宋体" w:hAnsi="宋体"/>
      <w:color w:val="000000"/>
      <w:kern w:val="0"/>
      <w:sz w:val="21"/>
      <w:szCs w:val="24"/>
    </w:rPr>
  </w:style>
  <w:style w:type="paragraph" w:styleId="13">
    <w:name w:val="annotation subject"/>
    <w:basedOn w:val="5"/>
    <w:next w:val="5"/>
    <w:qFormat/>
    <w:uiPriority w:val="0"/>
    <w:rPr>
      <w:b/>
      <w:bCs/>
    </w:rPr>
  </w:style>
  <w:style w:type="table" w:styleId="15">
    <w:name w:val="Table Grid"/>
    <w:basedOn w:val="14"/>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basedOn w:val="16"/>
    <w:qFormat/>
    <w:uiPriority w:val="99"/>
    <w:rPr>
      <w:color w:val="136EC2"/>
      <w:u w:val="single"/>
    </w:rPr>
  </w:style>
  <w:style w:type="character" w:styleId="19">
    <w:name w:val="annotation reference"/>
    <w:basedOn w:val="16"/>
    <w:qFormat/>
    <w:uiPriority w:val="0"/>
    <w:rPr>
      <w:sz w:val="21"/>
      <w:szCs w:val="21"/>
    </w:rPr>
  </w:style>
  <w:style w:type="character" w:styleId="20">
    <w:name w:val="footnote reference"/>
    <w:basedOn w:val="16"/>
    <w:qFormat/>
    <w:uiPriority w:val="0"/>
    <w:rPr>
      <w:vertAlign w:val="superscript"/>
    </w:rPr>
  </w:style>
  <w:style w:type="paragraph" w:customStyle="1" w:styleId="21">
    <w:name w:val=" Char Char Char Char"/>
    <w:basedOn w:val="1"/>
    <w:qFormat/>
    <w:uiPriority w:val="0"/>
    <w:rPr>
      <w:rFonts w:ascii="宋体" w:hAnsi="宋体" w:cs="Courier New"/>
      <w:sz w:val="32"/>
      <w:szCs w:val="32"/>
    </w:rPr>
  </w:style>
  <w:style w:type="paragraph" w:styleId="22">
    <w:name w:val="List Paragraph"/>
    <w:basedOn w:val="1"/>
    <w:qFormat/>
    <w:uiPriority w:val="0"/>
    <w:pPr>
      <w:ind w:firstLine="420" w:firstLineChars="200"/>
    </w:pPr>
  </w:style>
  <w:style w:type="character" w:customStyle="1" w:styleId="23">
    <w:name w:val="页眉 Char"/>
    <w:basedOn w:val="16"/>
    <w:link w:val="10"/>
    <w:qFormat/>
    <w:uiPriority w:val="99"/>
    <w:rPr>
      <w:sz w:val="18"/>
      <w:szCs w:val="18"/>
    </w:rPr>
  </w:style>
  <w:style w:type="character" w:customStyle="1" w:styleId="24">
    <w:name w:val="页脚 Char"/>
    <w:basedOn w:val="16"/>
    <w:link w:val="9"/>
    <w:qFormat/>
    <w:uiPriority w:val="99"/>
    <w:rPr>
      <w:sz w:val="18"/>
      <w:szCs w:val="18"/>
    </w:rPr>
  </w:style>
  <w:style w:type="character" w:customStyle="1" w:styleId="25">
    <w:name w:val="font11"/>
    <w:basedOn w:val="16"/>
    <w:qFormat/>
    <w:uiPriority w:val="0"/>
    <w:rPr>
      <w:rFonts w:hint="default" w:ascii="仿宋_GB2312" w:eastAsia="仿宋_GB2312" w:cs="仿宋_GB2312"/>
      <w:color w:val="000000"/>
      <w:sz w:val="20"/>
      <w:szCs w:val="20"/>
      <w:u w:val="none"/>
    </w:rPr>
  </w:style>
  <w:style w:type="paragraph" w:customStyle="1" w:styleId="26">
    <w:name w:val="仿宋GB"/>
    <w:qFormat/>
    <w:uiPriority w:val="0"/>
    <w:pPr>
      <w:spacing w:line="560" w:lineRule="exact"/>
      <w:ind w:firstLine="200" w:firstLineChars="200"/>
      <w:contextualSpacing/>
      <w:jc w:val="both"/>
    </w:pPr>
    <w:rPr>
      <w:rFonts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style>
  <w:style w:type="paragraph" w:customStyle="1" w:styleId="27">
    <w:name w:val="黑体GB"/>
    <w:qFormat/>
    <w:uiPriority w:val="0"/>
    <w:pPr>
      <w:spacing w:line="560" w:lineRule="exact"/>
      <w:ind w:firstLine="200" w:firstLineChars="200"/>
      <w:contextualSpacing/>
      <w:jc w:val="both"/>
    </w:pPr>
    <w:rPr>
      <w:rFonts w:ascii="方正黑体_GBK" w:hAnsi="方正黑体_GBK" w:eastAsia="方正黑体_GBK" w:cs="方正黑体_GBK"/>
      <w:kern w:val="2"/>
      <w:sz w:val="32"/>
      <w:szCs w:val="32"/>
      <w:lang w:val="en-US" w:eastAsia="zh-CN" w:bidi="ar-SA"/>
    </w:rPr>
  </w:style>
  <w:style w:type="character" w:customStyle="1" w:styleId="28">
    <w:name w:val="font61"/>
    <w:basedOn w:val="16"/>
    <w:qFormat/>
    <w:uiPriority w:val="0"/>
    <w:rPr>
      <w:rFonts w:ascii="方正仿宋_GBK" w:hAnsi="方正仿宋_GBK" w:eastAsia="方正仿宋_GBK" w:cs="方正仿宋_GBK"/>
      <w:color w:val="000000"/>
      <w:sz w:val="24"/>
      <w:szCs w:val="24"/>
      <w:u w:val="none"/>
    </w:rPr>
  </w:style>
  <w:style w:type="character" w:customStyle="1" w:styleId="29">
    <w:name w:val="font31"/>
    <w:basedOn w:val="16"/>
    <w:qFormat/>
    <w:uiPriority w:val="0"/>
    <w:rPr>
      <w:rFonts w:hint="eastAsia" w:ascii="方正仿宋_GBK" w:hAnsi="方正仿宋_GBK" w:eastAsia="方正仿宋_GBK" w:cs="方正仿宋_GBK"/>
      <w:color w:val="000000"/>
      <w:sz w:val="24"/>
      <w:szCs w:val="24"/>
      <w:u w:val="none"/>
    </w:rPr>
  </w:style>
  <w:style w:type="character" w:customStyle="1" w:styleId="30">
    <w:name w:val="font01"/>
    <w:basedOn w:val="16"/>
    <w:qFormat/>
    <w:uiPriority w:val="0"/>
    <w:rPr>
      <w:rFonts w:hint="eastAsia" w:ascii="方正仿宋_GBK" w:hAnsi="方正仿宋_GBK" w:eastAsia="方正仿宋_GBK" w:cs="方正仿宋_GBK"/>
      <w:color w:val="000000"/>
      <w:sz w:val="24"/>
      <w:szCs w:val="24"/>
      <w:u w:val="none"/>
    </w:rPr>
  </w:style>
  <w:style w:type="character" w:customStyle="1" w:styleId="31">
    <w:name w:val="font21"/>
    <w:basedOn w:val="16"/>
    <w:qFormat/>
    <w:uiPriority w:val="0"/>
    <w:rPr>
      <w:rFonts w:hint="default" w:ascii="Times New Roman" w:hAnsi="Times New Roman" w:cs="Times New Roman"/>
      <w:color w:val="000000"/>
      <w:sz w:val="24"/>
      <w:szCs w:val="24"/>
      <w:u w:val="none"/>
    </w:rPr>
  </w:style>
  <w:style w:type="paragraph" w:customStyle="1" w:styleId="32">
    <w:name w:val="小标宋GB"/>
    <w:qFormat/>
    <w:uiPriority w:val="0"/>
    <w:pPr>
      <w:spacing w:line="560" w:lineRule="exact"/>
      <w:contextualSpacing/>
      <w:jc w:val="center"/>
    </w:pPr>
    <w:rPr>
      <w:rFonts w:ascii="方正小标宋_GBK" w:hAnsi="方正小标宋_GBK" w:eastAsia="方正小标宋_GBK" w:cs="方正小标宋_GBK"/>
      <w:kern w:val="2"/>
      <w:sz w:val="44"/>
      <w:szCs w:val="4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23815;&#25919;&#2145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崇政发</Template>
  <Pages>11</Pages>
  <Words>4288</Words>
  <Characters>4415</Characters>
  <Lines>90</Lines>
  <Paragraphs>25</Paragraphs>
  <TotalTime>2</TotalTime>
  <ScaleCrop>false</ScaleCrop>
  <LinksUpToDate>false</LinksUpToDate>
  <CharactersWithSpaces>4513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2016-08-04T03:03:00Z</dcterms:created>
  <dc:creator>Administrator</dc:creator>
  <cp:lastModifiedBy>Tigerrrrr</cp:lastModifiedBy>
  <cp:lastPrinted>2025-01-09T01:17:00Z</cp:lastPrinted>
  <dcterms:modified xsi:type="dcterms:W3CDTF">2025-07-11T08:51:22Z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567733175_btnclosed</vt:lpwstr>
  </property>
  <property fmtid="{D5CDD505-2E9C-101B-9397-08002B2CF9AE}" pid="4" name="ICV">
    <vt:lpwstr>DE14D38EE0F0438BBC286DC008D497DB_13</vt:lpwstr>
  </property>
  <property fmtid="{D5CDD505-2E9C-101B-9397-08002B2CF9AE}" pid="5" name="KSOTemplateDocerSaveRecord">
    <vt:lpwstr>eyJoZGlkIjoiMTk3MWU5ZmEzM2YxMjFhN2RhOWEzNzdjYTliYjdhNzIiLCJ1c2VySWQiOiI1Njc3MzMxNzUifQ==</vt:lpwstr>
  </property>
</Properties>
</file>