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21008A">
      <w:pPr>
        <w:spacing w:line="56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无锡市梁溪区数据局</w:t>
      </w:r>
    </w:p>
    <w:p w14:paraId="3F9F6114">
      <w:pPr>
        <w:spacing w:line="560" w:lineRule="exact"/>
        <w:jc w:val="center"/>
      </w:pPr>
      <w:r>
        <w:rPr>
          <w:rFonts w:hint="eastAsia" w:ascii="方正小标宋简体" w:hAnsi="黑体" w:eastAsia="方正小标宋简体"/>
          <w:sz w:val="44"/>
          <w:szCs w:val="44"/>
        </w:rPr>
        <w:t>2024年度半年工作总结</w:t>
      </w:r>
    </w:p>
    <w:p w14:paraId="26567C31">
      <w:pPr>
        <w:spacing w:line="560" w:lineRule="exact"/>
      </w:pPr>
    </w:p>
    <w:p w14:paraId="7F36642A">
      <w:pPr>
        <w:spacing w:line="560" w:lineRule="exact"/>
        <w:ind w:firstLine="636" w:firstLineChars="200"/>
        <w:rPr>
          <w:rFonts w:ascii="方正仿宋_GBK" w:hAnsi="Times New Roman" w:eastAsia="方正仿宋_GBK" w:cs="Times New Roman"/>
          <w:sz w:val="32"/>
          <w:szCs w:val="32"/>
        </w:rPr>
      </w:pPr>
      <w:r>
        <w:rPr>
          <w:rFonts w:hint="eastAsia" w:ascii="方正仿宋_GBK" w:eastAsia="方正仿宋_GBK"/>
          <w:spacing w:val="-1"/>
          <w:sz w:val="32"/>
          <w:szCs w:val="32"/>
        </w:rPr>
        <w:t>上半年，我们以机构改革、职能整合为契机，坚决贯彻落实习近平总书记关于数字中国建设重要论述，在区委区政府的坚强领导下，紧盯全年数字经济发展各项指标任务，抢抓数字经济新赛道，全面深化数据要素市场化配置改革，强化数字思维，坚持数据赋能，全力打造中国式现代化数字梁溪新模式。</w:t>
      </w:r>
    </w:p>
    <w:p w14:paraId="5C030549">
      <w:pPr>
        <w:spacing w:line="560" w:lineRule="exact"/>
        <w:ind w:firstLine="640" w:firstLineChars="200"/>
        <w:rPr>
          <w:rFonts w:ascii="方正仿宋_GBK" w:eastAsia="方正仿宋_GBK"/>
          <w:spacing w:val="-1"/>
          <w:sz w:val="32"/>
          <w:szCs w:val="32"/>
        </w:rPr>
      </w:pPr>
      <w:r>
        <w:rPr>
          <w:rFonts w:hint="eastAsia" w:ascii="方正黑体_GBK" w:hAnsi="Times New Roman" w:eastAsia="方正黑体_GBK" w:cs="Times New Roman"/>
          <w:sz w:val="32"/>
          <w:szCs w:val="32"/>
        </w:rPr>
        <w:t>一是创新驱动，全力推进数字化转型。</w:t>
      </w:r>
      <w:r>
        <w:rPr>
          <w:rFonts w:hint="eastAsia" w:ascii="方正仿宋_GBK" w:eastAsia="方正仿宋_GBK"/>
          <w:spacing w:val="-1"/>
          <w:sz w:val="32"/>
          <w:szCs w:val="32"/>
        </w:rPr>
        <w:t>做优梁溪数字化转型品牌，召开梁溪区数字化转型服务商座谈会，对梁溪区数字化转型星级服务商、梁溪区数据要素先进企业进行授牌。指导格罗瑞获评智慧长三角数字化转型优秀案例二等奖，为全市唯一获评该荣誉的板块。积极争取省人大数据立法和数字经济高质量发展专题调研组到梁溪参观，中国科学院学部“数字化转型助力建设现代化产业体系路径”项目组到梁溪调研；积极争取国家、省“数据要素×”典型案例，</w:t>
      </w:r>
      <w:r>
        <w:rPr>
          <w:rFonts w:ascii="Times New Roman" w:hAnsi="Times New Roman" w:eastAsia="方正仿宋_GBK" w:cs="Times New Roman"/>
          <w:spacing w:val="-1"/>
          <w:sz w:val="32"/>
          <w:szCs w:val="32"/>
        </w:rPr>
        <w:t>6个项目推报省数据局，小娄巷AR沉浸式体验案例作为全市唯一</w:t>
      </w:r>
      <w:r>
        <w:rPr>
          <w:rFonts w:hint="eastAsia" w:ascii="方正仿宋_GBK" w:eastAsia="方正仿宋_GBK"/>
          <w:spacing w:val="-1"/>
          <w:sz w:val="32"/>
          <w:szCs w:val="32"/>
        </w:rPr>
        <w:t>由板块建设项目报送至国家数据局；“梁溪区基层赋能平台”荣获“</w:t>
      </w:r>
      <w:r>
        <w:rPr>
          <w:rFonts w:ascii="Times New Roman" w:hAnsi="Times New Roman" w:eastAsia="方正仿宋_GBK" w:cs="Times New Roman"/>
          <w:spacing w:val="-1"/>
          <w:sz w:val="32"/>
          <w:szCs w:val="32"/>
        </w:rPr>
        <w:t>2024数字</w:t>
      </w:r>
      <w:r>
        <w:rPr>
          <w:rFonts w:hint="eastAsia" w:ascii="方正仿宋_GBK" w:eastAsia="方正仿宋_GBK"/>
          <w:spacing w:val="-1"/>
          <w:sz w:val="32"/>
          <w:szCs w:val="32"/>
        </w:rPr>
        <w:t>中国创新大赛数据要素×应用赛道优胜奖”。</w:t>
      </w:r>
    </w:p>
    <w:p w14:paraId="3907E2C2">
      <w:pPr>
        <w:spacing w:line="560" w:lineRule="exact"/>
        <w:ind w:firstLine="640" w:firstLineChars="200"/>
        <w:rPr>
          <w:rFonts w:ascii="方正仿宋_GBK" w:eastAsia="方正仿宋_GBK"/>
          <w:spacing w:val="-1"/>
          <w:sz w:val="32"/>
          <w:szCs w:val="32"/>
        </w:rPr>
      </w:pPr>
      <w:r>
        <w:rPr>
          <w:rFonts w:hint="eastAsia" w:ascii="方正黑体_GBK" w:hAnsi="Times New Roman" w:eastAsia="方正黑体_GBK" w:cs="Times New Roman"/>
          <w:sz w:val="32"/>
          <w:szCs w:val="32"/>
        </w:rPr>
        <w:t>二是抢抓机遇，全力培育数据要素市场。</w:t>
      </w:r>
      <w:r>
        <w:rPr>
          <w:rFonts w:hint="eastAsia" w:ascii="方正仿宋_GBK" w:eastAsia="方正仿宋_GBK"/>
          <w:spacing w:val="-1"/>
          <w:sz w:val="32"/>
          <w:szCs w:val="32"/>
        </w:rPr>
        <w:t>组织区大数据公司等4家辖区企业在全国首批完成数据资源入表，实现数据要素资产化。联合交通银行</w:t>
      </w:r>
      <w:r>
        <w:rPr>
          <w:rFonts w:ascii="Times New Roman" w:hAnsi="Times New Roman" w:eastAsia="方正仿宋_GBK" w:cs="Times New Roman"/>
          <w:spacing w:val="-1"/>
          <w:sz w:val="32"/>
          <w:szCs w:val="32"/>
        </w:rPr>
        <w:t>等6</w:t>
      </w:r>
      <w:r>
        <w:rPr>
          <w:rFonts w:hint="eastAsia" w:ascii="方正仿宋_GBK" w:eastAsia="方正仿宋_GBK"/>
          <w:spacing w:val="-1"/>
          <w:sz w:val="32"/>
          <w:szCs w:val="32"/>
        </w:rPr>
        <w:t>家银行推出全市首个数据贷产品“梁溪数据贷”，江苏银行通过数据资源入表情况评估，为</w:t>
      </w:r>
      <w:r>
        <w:rPr>
          <w:rFonts w:ascii="Times New Roman" w:hAnsi="Times New Roman" w:eastAsia="方正仿宋_GBK" w:cs="Times New Roman"/>
          <w:spacing w:val="-1"/>
          <w:sz w:val="32"/>
          <w:szCs w:val="32"/>
        </w:rPr>
        <w:t>4家首批入表企业预授信3300</w:t>
      </w:r>
      <w:r>
        <w:rPr>
          <w:rFonts w:hint="eastAsia" w:ascii="方正仿宋_GBK" w:eastAsia="方正仿宋_GBK"/>
          <w:spacing w:val="-1"/>
          <w:sz w:val="32"/>
          <w:szCs w:val="32"/>
        </w:rPr>
        <w:t>万元，实现了数据资源的资本化发展。挂牌成立锡数交梁溪分中心，在锡数交数据交易相关网站设“梁溪专区”，梁溪智脑建设沉淀的梁溪区数字孪生数据服务、企业政策智能匹配数据服务等数据产品已上架销售，指导区大数据公司依托梁溪智脑区块链平台，开展数据产品登记认证等服务，为开展数据产品跨境交易保驾护航，推动辖区企业数据资源产品化、商品化。</w:t>
      </w:r>
    </w:p>
    <w:p w14:paraId="314BF02B">
      <w:pPr>
        <w:spacing w:line="560" w:lineRule="exact"/>
        <w:ind w:firstLine="640" w:firstLineChars="200"/>
        <w:rPr>
          <w:rFonts w:ascii="Times New Roman" w:hAnsi="Times New Roman" w:eastAsia="方正仿宋_GBK" w:cs="Times New Roman"/>
          <w:sz w:val="32"/>
          <w:szCs w:val="32"/>
        </w:rPr>
      </w:pPr>
      <w:r>
        <w:rPr>
          <w:rFonts w:hint="eastAsia" w:ascii="方正黑体_GBK" w:hAnsi="Times New Roman" w:eastAsia="方正黑体_GBK" w:cs="Times New Roman"/>
          <w:sz w:val="32"/>
          <w:szCs w:val="32"/>
        </w:rPr>
        <w:t>三是赋能发展，全力构建数据治理体系。</w:t>
      </w:r>
      <w:r>
        <w:rPr>
          <w:rFonts w:hint="eastAsia" w:ascii="方正仿宋_GBK" w:eastAsia="方正仿宋_GBK"/>
          <w:spacing w:val="-1"/>
          <w:sz w:val="32"/>
          <w:szCs w:val="32"/>
        </w:rPr>
        <w:t>深化梁溪智脑应用，</w:t>
      </w:r>
      <w:r>
        <w:rPr>
          <w:rFonts w:hint="eastAsia" w:ascii="Times New Roman" w:hAnsi="Times New Roman" w:eastAsia="方正仿宋_GBK" w:cs="Times New Roman"/>
          <w:sz w:val="32"/>
          <w:szCs w:val="32"/>
        </w:rPr>
        <w:t>汇聚32个部门49个系统共计127亿余条区域数据，构建“4大基础库+13个主题库+13个专题库”，统一数据接入和共享交换规范，编制数据字典，梳理数据关系，提供数据应用支撑。以便民惠民为应用场景建设宗旨，运用视联数据结合AI算法，赋能校园食安智慧监管、工地智慧监管等场景智能升级，已为全区80所中小学、幼儿园提供日常监管，为8处工地提供预警告警。依托接入的1.5亿余条物联实时数据，为物联智能感知消防、物联智能感知小区、智慧园区等场景提供服务。北大联合实验室开发的梁溪政务大模型（“燕溪”）已在民政领域率先开展应用探索。“梁溪智脑”获评第四届江苏大数据开发与应用大赛“数据创新应用优秀成果奖”等荣誉。</w:t>
      </w:r>
    </w:p>
    <w:p w14:paraId="6AB9206B">
      <w:pPr>
        <w:spacing w:line="560" w:lineRule="exact"/>
        <w:ind w:firstLine="640" w:firstLineChars="200"/>
        <w:rPr>
          <w:rFonts w:ascii="Times New Roman" w:hAnsi="Times New Roman" w:eastAsia="方正仿宋_GBK" w:cs="Times New Roman"/>
          <w:sz w:val="32"/>
          <w:szCs w:val="32"/>
        </w:rPr>
      </w:pPr>
      <w:r>
        <w:rPr>
          <w:rFonts w:hint="eastAsia" w:ascii="方正黑体_GBK" w:hAnsi="Times New Roman" w:eastAsia="方正黑体_GBK" w:cs="Times New Roman"/>
          <w:sz w:val="32"/>
          <w:szCs w:val="32"/>
        </w:rPr>
        <w:t>四是便捷高效，全力提升服务市场主体能力。</w:t>
      </w:r>
      <w:r>
        <w:rPr>
          <w:rFonts w:hint="eastAsia" w:ascii="方正仿宋_GBK" w:eastAsia="方正仿宋_GBK"/>
          <w:sz w:val="32"/>
          <w:szCs w:val="32"/>
        </w:rPr>
        <w:t>持续深化企业开办、简易注销、“个转</w:t>
      </w:r>
      <w:bookmarkStart w:id="0" w:name="_GoBack"/>
      <w:bookmarkEnd w:id="0"/>
      <w:r>
        <w:rPr>
          <w:rFonts w:hint="eastAsia" w:ascii="方正仿宋_GBK" w:eastAsia="方正仿宋_GBK"/>
          <w:sz w:val="32"/>
          <w:szCs w:val="32"/>
        </w:rPr>
        <w:t>企”等“一件事”改革，</w:t>
      </w:r>
      <w:r>
        <w:rPr>
          <w:rFonts w:hint="eastAsia" w:ascii="Times New Roman" w:hAnsi="Times New Roman" w:eastAsia="方正仿宋_GBK" w:cs="Times New Roman"/>
          <w:sz w:val="32"/>
          <w:szCs w:val="32"/>
        </w:rPr>
        <w:t>企业登记实现全程网办，</w:t>
      </w:r>
      <w:r>
        <w:rPr>
          <w:rFonts w:ascii="Times New Roman" w:hAnsi="Times New Roman" w:eastAsia="方正仿宋_GBK" w:cs="Times New Roman"/>
          <w:sz w:val="32"/>
          <w:szCs w:val="32"/>
        </w:rPr>
        <w:t>共办理</w:t>
      </w:r>
      <w:r>
        <w:rPr>
          <w:rFonts w:hint="eastAsia" w:ascii="Times New Roman" w:hAnsi="Times New Roman" w:eastAsia="方正仿宋_GBK" w:cs="Times New Roman"/>
          <w:sz w:val="32"/>
          <w:szCs w:val="32"/>
        </w:rPr>
        <w:t>“个转企”132</w:t>
      </w:r>
      <w:r>
        <w:rPr>
          <w:rFonts w:ascii="Times New Roman" w:hAnsi="Times New Roman" w:eastAsia="方正仿宋_GBK" w:cs="Times New Roman"/>
          <w:sz w:val="32"/>
          <w:szCs w:val="32"/>
        </w:rPr>
        <w:t>户</w:t>
      </w:r>
      <w:r>
        <w:rPr>
          <w:rFonts w:hint="eastAsia"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居</w:t>
      </w:r>
      <w:r>
        <w:rPr>
          <w:rFonts w:ascii="Times New Roman" w:hAnsi="Times New Roman" w:eastAsia="方正仿宋_GBK" w:cs="Times New Roman"/>
          <w:sz w:val="32"/>
          <w:szCs w:val="32"/>
        </w:rPr>
        <w:t>全市首位</w:t>
      </w:r>
      <w:r>
        <w:rPr>
          <w:rFonts w:ascii="Times New Roman" w:hAnsi="Times New Roman" w:eastAsia="方正仿宋_GBK" w:cs="Times New Roman"/>
          <w:bCs/>
          <w:kern w:val="0"/>
          <w:sz w:val="32"/>
          <w:szCs w:val="32"/>
        </w:rPr>
        <w:t>。</w:t>
      </w:r>
      <w:r>
        <w:rPr>
          <w:rFonts w:hint="eastAsia" w:ascii="Times New Roman" w:hAnsi="Times New Roman" w:eastAsia="方正仿宋_GBK" w:cs="Times New Roman"/>
          <w:sz w:val="32"/>
          <w:szCs w:val="32"/>
        </w:rPr>
        <w:t>深化“三提三即”改革，常态化开展重大项目专班服务，上半年共接专班交办项目93个，其中重大项目31个、民生实事16个、政府投资46个， 46个项目完成施工许可证办理，34个项目完成招投标，其中“拿地即开工”项目3个。完成上线全市首个重大项目电力报装及外线接入“一件事”服务模块，办理时间由原50天可压缩至30天以内。用好锡企服务平台梁溪旗舰店总入口，</w:t>
      </w:r>
      <w:r>
        <w:rPr>
          <w:rFonts w:hint="eastAsia" w:ascii="方正仿宋_GBK" w:hAnsi="方正仿宋_GBK" w:eastAsia="方正仿宋_GBK" w:cs="方正仿宋_GBK"/>
          <w:sz w:val="32"/>
          <w:szCs w:val="32"/>
        </w:rPr>
        <w:t>开展“携企手·迎春风”系列宣传推广活动，组织</w:t>
      </w:r>
      <w:r>
        <w:rPr>
          <w:rFonts w:hint="eastAsia" w:ascii="方正仿宋_GBK" w:hAnsi="方正仿宋_GBK" w:eastAsia="方正仿宋_GBK" w:cs="方正仿宋_GBK"/>
          <w:color w:val="000000" w:themeColor="text1"/>
          <w:sz w:val="32"/>
          <w:szCs w:val="32"/>
        </w:rPr>
        <w:t>两场线上直播</w:t>
      </w:r>
      <w:r>
        <w:rPr>
          <w:rFonts w:hint="eastAsia" w:ascii="Times New Roman" w:hAnsi="Times New Roman" w:eastAsia="方正仿宋_GBK" w:cs="Times New Roman"/>
          <w:sz w:val="32"/>
          <w:szCs w:val="32"/>
        </w:rPr>
        <w:t>，</w:t>
      </w:r>
      <w:r>
        <w:rPr>
          <w:rFonts w:hint="eastAsia" w:ascii="方正仿宋_GBK" w:hAnsi="方正仿宋_GBK" w:eastAsia="方正仿宋_GBK" w:cs="方正仿宋_GBK"/>
          <w:color w:val="000000" w:themeColor="text1"/>
          <w:sz w:val="32"/>
          <w:szCs w:val="32"/>
        </w:rPr>
        <w:t>做好惠企政策解读、一问一答和精准推送</w:t>
      </w:r>
      <w:r>
        <w:rPr>
          <w:rFonts w:hint="eastAsia" w:ascii="Times New Roman" w:hAnsi="Times New Roman" w:eastAsia="方正仿宋_GBK" w:cs="Times New Roman"/>
          <w:sz w:val="32"/>
          <w:szCs w:val="32"/>
        </w:rPr>
        <w:t>。持续做好跨省、市远程异地评标，鼓励投标人使用第三方信用报告、信用承诺、银行电子保函参与投标降低制度性交易成本。</w:t>
      </w:r>
    </w:p>
    <w:p w14:paraId="318AB64C">
      <w:pPr>
        <w:spacing w:line="560" w:lineRule="exact"/>
        <w:ind w:firstLine="640" w:firstLineChars="200"/>
        <w:rPr>
          <w:rFonts w:ascii="方正仿宋_GBK" w:hAnsi="方正仿宋_GBK" w:eastAsia="方正仿宋_GBK" w:cs="方正仿宋_GBK"/>
          <w:sz w:val="32"/>
          <w:szCs w:val="32"/>
        </w:rPr>
      </w:pPr>
      <w:r>
        <w:rPr>
          <w:rFonts w:hint="eastAsia" w:ascii="方正黑体_GBK" w:hAnsi="Times New Roman" w:eastAsia="方正黑体_GBK" w:cs="Times New Roman"/>
          <w:sz w:val="32"/>
          <w:szCs w:val="32"/>
        </w:rPr>
        <w:t>五是深化改革，全力打造更优政务服务体系。</w:t>
      </w:r>
      <w:r>
        <w:rPr>
          <w:rFonts w:hint="eastAsia" w:ascii="方正仿宋_GBK" w:hAnsi="方正仿宋_GBK" w:eastAsia="方正仿宋_GBK" w:cs="方正仿宋_GBK"/>
          <w:sz w:val="32"/>
          <w:szCs w:val="32"/>
        </w:rPr>
        <w:t>持续推进“高效办成一件事”改革，上半年办件量近</w:t>
      </w:r>
      <w:r>
        <w:rPr>
          <w:rFonts w:ascii="Times New Roman" w:hAnsi="Times New Roman" w:eastAsia="方正仿宋_GBK" w:cs="Times New Roman"/>
          <w:sz w:val="32"/>
          <w:szCs w:val="32"/>
        </w:rPr>
        <w:t>3.2</w:t>
      </w:r>
      <w:r>
        <w:rPr>
          <w:rFonts w:hint="eastAsia" w:ascii="方正仿宋_GBK" w:hAnsi="方正仿宋_GBK" w:eastAsia="方正仿宋_GBK" w:cs="方正仿宋_GBK"/>
          <w:sz w:val="32"/>
          <w:szCs w:val="32"/>
        </w:rPr>
        <w:t>万件，全市各板块排名第一。开设长三角政务服务“一网通办”远程虚拟人工服务窗口，</w:t>
      </w:r>
      <w:r>
        <w:rPr>
          <w:rFonts w:ascii="方正仿宋_GBK" w:hAnsi="方正仿宋_GBK" w:eastAsia="方正仿宋_GBK" w:cs="方正仿宋_GBK"/>
          <w:sz w:val="32"/>
          <w:szCs w:val="32"/>
        </w:rPr>
        <w:t>推动长三角跨省业务属地远程受理</w:t>
      </w:r>
      <w:r>
        <w:rPr>
          <w:rFonts w:hint="eastAsia" w:ascii="方正仿宋_GBK" w:hAnsi="方正仿宋_GBK" w:eastAsia="方正仿宋_GBK" w:cs="方正仿宋_GBK"/>
          <w:sz w:val="32"/>
          <w:szCs w:val="32"/>
        </w:rPr>
        <w:t>。优化窗口布局，设立电水气讯联合报装服务专区，为企业用户打造一站式服务，实现“一窗受理、多家联办、方便高效”，进一步提升企业用户电水气讯报装接入效率。指导黄巷街道设立全市首个“巷优办”政务服务流动窗口，实现“人找服务”向“服务找人”转变。深化窗口作风建设，评选“红旗窗口”</w:t>
      </w:r>
      <w:r>
        <w:rPr>
          <w:rFonts w:ascii="Times New Roman" w:hAnsi="Times New Roman" w:eastAsia="方正仿宋_GBK" w:cs="Times New Roman"/>
          <w:sz w:val="32"/>
          <w:szCs w:val="32"/>
        </w:rPr>
        <w:t>4</w:t>
      </w:r>
      <w:r>
        <w:rPr>
          <w:rFonts w:ascii="Times New Roman" w:hAnsi="方正仿宋_GBK" w:eastAsia="方正仿宋_GBK" w:cs="Times New Roman"/>
          <w:sz w:val="32"/>
          <w:szCs w:val="32"/>
        </w:rPr>
        <w:t>个</w:t>
      </w:r>
      <w:r>
        <w:rPr>
          <w:rFonts w:hint="eastAsia" w:ascii="方正仿宋_GBK" w:hAnsi="方正仿宋_GBK" w:eastAsia="方正仿宋_GBK" w:cs="方正仿宋_GBK"/>
          <w:sz w:val="32"/>
          <w:szCs w:val="32"/>
        </w:rPr>
        <w:t>、“岗位之星”</w:t>
      </w:r>
      <w:r>
        <w:rPr>
          <w:rFonts w:ascii="Times New Roman" w:hAnsi="Times New Roman" w:eastAsia="方正仿宋_GBK" w:cs="Times New Roman"/>
          <w:sz w:val="32"/>
          <w:szCs w:val="32"/>
        </w:rPr>
        <w:t>12</w:t>
      </w:r>
      <w:r>
        <w:rPr>
          <w:rFonts w:hint="eastAsia" w:ascii="方正仿宋_GBK" w:hAnsi="方正仿宋_GBK" w:eastAsia="方正仿宋_GBK" w:cs="方正仿宋_GBK"/>
          <w:sz w:val="32"/>
          <w:szCs w:val="32"/>
        </w:rPr>
        <w:t>名，配合区纪委在政务大厅设立“作风观察点”，畅通“好差评”“办不成事”反映窗口渠道，上半年全区为民服务窗口</w:t>
      </w:r>
      <w:r>
        <w:rPr>
          <w:rFonts w:hint="eastAsia" w:ascii="Times New Roman" w:hAnsi="Times New Roman" w:eastAsia="方正仿宋_GBK" w:cs="Times New Roman"/>
          <w:sz w:val="32"/>
          <w:szCs w:val="32"/>
        </w:rPr>
        <w:t>现场受理办件近50万件，按时办结率99.76%，群众满意率99.97%，</w:t>
      </w:r>
      <w:r>
        <w:rPr>
          <w:rFonts w:hint="eastAsia" w:ascii="方正仿宋_GBK" w:hAnsi="方正仿宋_GBK" w:eastAsia="方正仿宋_GBK" w:cs="方正仿宋_GBK"/>
          <w:sz w:val="32"/>
          <w:szCs w:val="32"/>
        </w:rPr>
        <w:t>收到企业和群众锦旗、表</w:t>
      </w:r>
      <w:r>
        <w:rPr>
          <w:rFonts w:ascii="Times New Roman" w:hAnsi="方正仿宋_GBK" w:eastAsia="方正仿宋_GBK" w:cs="Times New Roman"/>
          <w:sz w:val="32"/>
          <w:szCs w:val="32"/>
        </w:rPr>
        <w:t>扬信等</w:t>
      </w:r>
      <w:r>
        <w:rPr>
          <w:rFonts w:ascii="Times New Roman" w:hAnsi="Times New Roman" w:eastAsia="方正仿宋_GBK" w:cs="Times New Roman"/>
          <w:sz w:val="32"/>
          <w:szCs w:val="32"/>
        </w:rPr>
        <w:t>96</w:t>
      </w:r>
      <w:r>
        <w:rPr>
          <w:rFonts w:ascii="Times New Roman" w:hAnsi="方正仿宋_GBK" w:eastAsia="方正仿宋_GBK" w:cs="Times New Roman"/>
          <w:sz w:val="32"/>
          <w:szCs w:val="32"/>
        </w:rPr>
        <w:t>件</w:t>
      </w:r>
      <w:r>
        <w:rPr>
          <w:rFonts w:hint="eastAsia" w:ascii="方正仿宋_GBK" w:hAnsi="方正仿宋_GBK" w:eastAsia="方正仿宋_GBK" w:cs="方正仿宋_GBK"/>
          <w:sz w:val="32"/>
          <w:szCs w:val="32"/>
        </w:rPr>
        <w:t>；处理热线工单</w:t>
      </w:r>
      <w:r>
        <w:rPr>
          <w:rFonts w:hint="eastAsia" w:ascii="Times New Roman" w:hAnsi="Times New Roman" w:eastAsia="方正仿宋_GBK" w:cs="Times New Roman"/>
          <w:sz w:val="32"/>
          <w:szCs w:val="32"/>
        </w:rPr>
        <w:t>6</w:t>
      </w:r>
      <w:r>
        <w:rPr>
          <w:rFonts w:hint="eastAsia" w:ascii="方正仿宋_GBK" w:hAnsi="方正仿宋_GBK" w:eastAsia="方正仿宋_GBK" w:cs="方正仿宋_GBK"/>
          <w:sz w:val="32"/>
          <w:szCs w:val="32"/>
        </w:rPr>
        <w:t>万余件，办理满意率</w:t>
      </w:r>
      <w:r>
        <w:rPr>
          <w:rFonts w:hint="eastAsia" w:ascii="Times New Roman" w:hAnsi="Times New Roman" w:eastAsia="方正仿宋_GBK" w:cs="Times New Roman"/>
          <w:sz w:val="32"/>
          <w:szCs w:val="32"/>
        </w:rPr>
        <w:t>90.73%</w:t>
      </w:r>
      <w:r>
        <w:rPr>
          <w:rFonts w:hint="eastAsia" w:ascii="方正仿宋_GBK" w:hAnsi="方正仿宋_GBK" w:eastAsia="方正仿宋_GBK" w:cs="方正仿宋_GBK"/>
          <w:sz w:val="32"/>
          <w:szCs w:val="32"/>
        </w:rPr>
        <w:t>，按时办结率</w:t>
      </w:r>
      <w:r>
        <w:rPr>
          <w:rFonts w:hint="eastAsia" w:ascii="Times New Roman" w:hAnsi="Times New Roman" w:eastAsia="方正仿宋_GBK" w:cs="Times New Roman"/>
          <w:sz w:val="32"/>
          <w:szCs w:val="32"/>
        </w:rPr>
        <w:t>100.00%</w:t>
      </w:r>
      <w:r>
        <w:rPr>
          <w:rFonts w:hint="eastAsia" w:ascii="方正仿宋_GBK" w:hAnsi="方正仿宋_GBK" w:eastAsia="方正仿宋_GBK" w:cs="方正仿宋_GBK"/>
          <w:sz w:val="32"/>
          <w:szCs w:val="32"/>
        </w:rPr>
        <w:t>；收集“微幸福”民生工程事项</w:t>
      </w:r>
      <w:r>
        <w:rPr>
          <w:rFonts w:ascii="Times New Roman" w:hAnsi="Times New Roman" w:eastAsia="方正仿宋_GBK" w:cs="Times New Roman"/>
          <w:sz w:val="32"/>
          <w:szCs w:val="32"/>
        </w:rPr>
        <w:t>239</w:t>
      </w:r>
      <w:r>
        <w:rPr>
          <w:rFonts w:hint="eastAsia" w:ascii="方正仿宋_GBK" w:hAnsi="方正仿宋_GBK" w:eastAsia="方正仿宋_GBK" w:cs="方正仿宋_GBK"/>
          <w:sz w:val="32"/>
          <w:szCs w:val="32"/>
        </w:rPr>
        <w:t>件，完成量全市第二，城区第一，得到企业群众的高度认可。</w:t>
      </w:r>
    </w:p>
    <w:p w14:paraId="1A72837B">
      <w:pPr>
        <w:spacing w:line="560" w:lineRule="exact"/>
        <w:ind w:firstLine="640" w:firstLineChars="200"/>
        <w:rPr>
          <w:rFonts w:ascii="方正仿宋_GBK" w:hAnsi="方正仿宋_GBK" w:eastAsia="方正仿宋_GBK" w:cs="方正仿宋_GBK"/>
          <w:sz w:val="32"/>
          <w:szCs w:val="32"/>
        </w:rPr>
      </w:pPr>
      <w:r>
        <w:rPr>
          <w:rFonts w:hint="eastAsia" w:ascii="方正黑体_GBK" w:hAnsi="Times New Roman" w:eastAsia="方正黑体_GBK" w:cs="Times New Roman"/>
          <w:sz w:val="32"/>
          <w:szCs w:val="32"/>
        </w:rPr>
        <w:t>六是党建引领，全力丰富拓展主题教育成果。</w:t>
      </w:r>
      <w:r>
        <w:rPr>
          <w:rFonts w:hint="eastAsia" w:ascii="方正仿宋_GBK" w:hAnsi="方正仿宋_GBK" w:eastAsia="方正仿宋_GBK" w:cs="方正仿宋_GBK"/>
          <w:sz w:val="32"/>
          <w:szCs w:val="32"/>
        </w:rPr>
        <w:t>巩固拓展主题教育成果，常态化长效化开展党史学习教育，强化创新理论武装，落实“第一议题”制度。开展“赓续红色血脉 牢记初心使命”主题党日活动，组织参观“一切为了人民——新四军历史展”“驰骋江南——新四军在无锡历史展”等专题展；稳步推进党纪学习教育，为每名党员发放《条例》，观看作风建设专题片《如果》和廉政纪律教育片《利剑高悬，清风护航》，依托中心组学习和三会一课开展党纪学习教育。申报推进“书记项目”--“当先锋克难题 助力重大项目审批再优化”，力争做出精品、形成特色。</w:t>
      </w:r>
    </w:p>
    <w:p w14:paraId="7172CE0B">
      <w:pPr>
        <w:spacing w:line="560" w:lineRule="exact"/>
        <w:ind w:firstLine="640" w:firstLineChars="200"/>
        <w:rPr>
          <w:rFonts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下半年，我们将贯彻落实区委二届八次全会精神，根据省、市政务办工作要点安排，结合区委区政府重点工作目标任务进一步细化举措，高效推进机构组建运行、职能优化整合，建立全新数据工作体系，持续推进数字化改革，打造数字化发展新引擎，开创数据工作新局面。</w:t>
      </w:r>
    </w:p>
    <w:p w14:paraId="07B65598">
      <w:pPr>
        <w:spacing w:line="560" w:lineRule="exact"/>
        <w:ind w:firstLine="640" w:firstLineChars="200"/>
        <w:rPr>
          <w:rFonts w:ascii="Times New Roman" w:hAnsi="Times New Roman" w:eastAsia="方正仿宋_GBK" w:cs="Times New Roman"/>
          <w:sz w:val="32"/>
          <w:szCs w:val="32"/>
        </w:rPr>
      </w:pPr>
      <w:r>
        <w:rPr>
          <w:rFonts w:hint="eastAsia" w:ascii="方正黑体_GBK" w:hAnsi="Times New Roman" w:eastAsia="方正黑体_GBK" w:cs="Times New Roman"/>
          <w:sz w:val="32"/>
          <w:szCs w:val="32"/>
        </w:rPr>
        <w:t>一是加强数字梁溪顶层设计。</w:t>
      </w:r>
      <w:r>
        <w:rPr>
          <w:rFonts w:ascii="Times New Roman" w:hAnsi="Times New Roman" w:eastAsia="方正仿宋_GBK" w:cs="Times New Roman"/>
          <w:sz w:val="32"/>
          <w:szCs w:val="32"/>
        </w:rPr>
        <w:t>按照</w:t>
      </w:r>
      <w:r>
        <w:rPr>
          <w:rFonts w:hint="eastAsia" w:ascii="Times New Roman" w:hAnsi="Times New Roman" w:eastAsia="方正仿宋_GBK" w:cs="Times New Roman"/>
          <w:sz w:val="32"/>
          <w:szCs w:val="32"/>
        </w:rPr>
        <w:t>国家、省、市数据局的</w:t>
      </w:r>
      <w:r>
        <w:rPr>
          <w:rFonts w:ascii="Times New Roman" w:hAnsi="Times New Roman" w:eastAsia="方正仿宋_GBK" w:cs="Times New Roman"/>
          <w:sz w:val="32"/>
          <w:szCs w:val="32"/>
        </w:rPr>
        <w:t>整体建设布局规划，抓好重点任务分解，系统谋划</w:t>
      </w:r>
      <w:r>
        <w:rPr>
          <w:rFonts w:hint="eastAsia" w:ascii="Times New Roman" w:hAnsi="Times New Roman" w:eastAsia="方正仿宋_GBK" w:cs="Times New Roman"/>
          <w:sz w:val="32"/>
          <w:szCs w:val="32"/>
        </w:rPr>
        <w:t>“数字梁溪”</w:t>
      </w:r>
      <w:r>
        <w:rPr>
          <w:rFonts w:ascii="Times New Roman" w:hAnsi="Times New Roman" w:eastAsia="方正仿宋_GBK" w:cs="Times New Roman"/>
          <w:sz w:val="32"/>
          <w:szCs w:val="32"/>
        </w:rPr>
        <w:t>建设。</w:t>
      </w:r>
      <w:r>
        <w:rPr>
          <w:rFonts w:hint="eastAsia" w:ascii="Times New Roman" w:hAnsi="Times New Roman" w:eastAsia="方正仿宋_GBK" w:cs="Times New Roman"/>
          <w:sz w:val="32"/>
          <w:szCs w:val="32"/>
        </w:rPr>
        <w:t>根据“数字无锡”考核要求建立清单、量化目标、压实责任，多措并举提升考核质效、推动发展成效。根据市级要求，</w:t>
      </w:r>
      <w:r>
        <w:rPr>
          <w:rFonts w:ascii="Times New Roman" w:hAnsi="Times New Roman" w:eastAsia="方正仿宋_GBK" w:cs="Times New Roman"/>
          <w:sz w:val="32"/>
          <w:szCs w:val="32"/>
        </w:rPr>
        <w:t>抓好数字化转型促进条例贯彻落实，推进</w:t>
      </w:r>
      <w:r>
        <w:rPr>
          <w:rFonts w:hint="eastAsia" w:ascii="Times New Roman" w:hAnsi="Times New Roman" w:eastAsia="方正仿宋_GBK" w:cs="Times New Roman"/>
          <w:sz w:val="32"/>
          <w:szCs w:val="32"/>
        </w:rPr>
        <w:t>依法治数。做好信息化项目全流程管理，推动信息化项目管理提质增效。</w:t>
      </w:r>
    </w:p>
    <w:p w14:paraId="01DF86CD">
      <w:pPr>
        <w:spacing w:line="560" w:lineRule="exact"/>
        <w:ind w:firstLine="640" w:firstLineChars="200"/>
        <w:rPr>
          <w:rFonts w:ascii="Times New Roman" w:hAnsi="Times New Roman" w:eastAsia="方正楷体_GBK" w:cs="Times New Roman"/>
          <w:sz w:val="32"/>
          <w:szCs w:val="32"/>
        </w:rPr>
      </w:pPr>
      <w:r>
        <w:rPr>
          <w:rFonts w:hint="eastAsia" w:ascii="方正黑体_GBK" w:hAnsi="Times New Roman" w:eastAsia="方正黑体_GBK" w:cs="Times New Roman"/>
          <w:sz w:val="32"/>
          <w:szCs w:val="32"/>
        </w:rPr>
        <w:t>二是继续做好数据治理工作。</w:t>
      </w:r>
      <w:r>
        <w:rPr>
          <w:rFonts w:hint="eastAsia" w:ascii="Times New Roman" w:hAnsi="Times New Roman" w:eastAsia="方正仿宋_GBK" w:cs="Times New Roman"/>
          <w:sz w:val="32"/>
          <w:szCs w:val="32"/>
        </w:rPr>
        <w:t>做好数据资源数据目录编制，持续丰富“四大基础库”，迭代主专题库，健全公共数据全生命闭环管理，落实公共数据安全管理措施。根据市级部署要求，做好公共数据分类分级共享和数据开放工作。加快公共数据价值化进程，开展数据资产全过程管理，稳妥推动数据资产开发利用。根据数据安全要求，做好制度规范完善和数据安全技术升级工作。</w:t>
      </w:r>
    </w:p>
    <w:p w14:paraId="74329F70">
      <w:pPr>
        <w:spacing w:line="560" w:lineRule="exact"/>
        <w:ind w:firstLine="640" w:firstLineChars="200"/>
        <w:rPr>
          <w:rFonts w:ascii="Times New Roman" w:hAnsi="Times New Roman" w:eastAsia="方正仿宋_GBK" w:cs="Times New Roman"/>
          <w:sz w:val="32"/>
          <w:szCs w:val="32"/>
        </w:rPr>
      </w:pPr>
      <w:r>
        <w:rPr>
          <w:rFonts w:hint="eastAsia" w:ascii="方正黑体_GBK" w:hAnsi="Times New Roman" w:eastAsia="方正黑体_GBK" w:cs="Times New Roman"/>
          <w:sz w:val="32"/>
          <w:szCs w:val="32"/>
        </w:rPr>
        <w:t>三是</w:t>
      </w:r>
      <w:r>
        <w:rPr>
          <w:rFonts w:ascii="方正黑体_GBK" w:hAnsi="Times New Roman" w:eastAsia="方正黑体_GBK" w:cs="Times New Roman"/>
          <w:sz w:val="32"/>
          <w:szCs w:val="32"/>
        </w:rPr>
        <w:t>激发数据要素市场活力。</w:t>
      </w:r>
      <w:r>
        <w:rPr>
          <w:rFonts w:ascii="Times New Roman" w:hAnsi="Times New Roman" w:eastAsia="方正仿宋_GBK" w:cs="Times New Roman"/>
          <w:sz w:val="32"/>
          <w:szCs w:val="32"/>
        </w:rPr>
        <w:t>推动公共数据授权运营，加快公共数据价值化进程。推动数据资产入表，探索公共数据价格形成机制。开展数据要素市场跨区域合作，</w:t>
      </w:r>
      <w:r>
        <w:rPr>
          <w:rFonts w:hint="eastAsia" w:ascii="Times New Roman" w:hAnsi="Times New Roman" w:eastAsia="方正仿宋_GBK" w:cs="Times New Roman"/>
          <w:sz w:val="32"/>
          <w:szCs w:val="32"/>
        </w:rPr>
        <w:t>年内新增</w:t>
      </w:r>
      <w:r>
        <w:rPr>
          <w:rFonts w:ascii="Times New Roman" w:hAnsi="Times New Roman" w:eastAsia="方正仿宋_GBK" w:cs="Times New Roman"/>
          <w:sz w:val="32"/>
          <w:szCs w:val="32"/>
        </w:rPr>
        <w:t>数据商及第三方专业服务机构</w:t>
      </w:r>
      <w:r>
        <w:rPr>
          <w:rFonts w:hint="eastAsia" w:ascii="Times New Roman" w:hAnsi="Times New Roman" w:eastAsia="方正仿宋_GBK" w:cs="Times New Roman"/>
          <w:sz w:val="32"/>
          <w:szCs w:val="32"/>
        </w:rPr>
        <w:t>10</w:t>
      </w:r>
      <w:r>
        <w:rPr>
          <w:rFonts w:ascii="Times New Roman" w:hAnsi="Times New Roman" w:eastAsia="方正仿宋_GBK" w:cs="Times New Roman"/>
          <w:sz w:val="32"/>
          <w:szCs w:val="32"/>
        </w:rPr>
        <w:t>家以上，</w:t>
      </w:r>
      <w:r>
        <w:rPr>
          <w:rFonts w:hint="eastAsia" w:ascii="Times New Roman" w:hAnsi="Times New Roman" w:eastAsia="方正仿宋_GBK" w:cs="Times New Roman"/>
          <w:sz w:val="32"/>
          <w:szCs w:val="32"/>
        </w:rPr>
        <w:t>新增</w:t>
      </w:r>
      <w:r>
        <w:rPr>
          <w:rFonts w:ascii="Times New Roman" w:hAnsi="Times New Roman" w:eastAsia="方正仿宋_GBK" w:cs="Times New Roman"/>
          <w:sz w:val="32"/>
          <w:szCs w:val="32"/>
        </w:rPr>
        <w:t>数据产品不少于10个。</w:t>
      </w:r>
      <w:r>
        <w:rPr>
          <w:rFonts w:hint="eastAsia" w:ascii="Times New Roman" w:hAnsi="Times New Roman" w:eastAsia="方正仿宋_GBK" w:cs="Times New Roman"/>
          <w:sz w:val="32"/>
          <w:szCs w:val="32"/>
        </w:rPr>
        <w:t>做好电子政务外网和</w:t>
      </w:r>
      <w:r>
        <w:rPr>
          <w:rFonts w:ascii="Times New Roman" w:hAnsi="Times New Roman" w:eastAsia="方正仿宋_GBK" w:cs="Times New Roman"/>
          <w:sz w:val="32"/>
          <w:szCs w:val="32"/>
        </w:rPr>
        <w:t>政务云资源统一管理和按需分配，加强政务云安全监测、预警、处置等有效管控。</w:t>
      </w:r>
    </w:p>
    <w:p w14:paraId="6D3D5D9D">
      <w:pPr>
        <w:spacing w:line="560" w:lineRule="exact"/>
        <w:ind w:firstLine="640" w:firstLineChars="200"/>
        <w:rPr>
          <w:rFonts w:ascii="Times New Roman" w:hAnsi="Times New Roman" w:eastAsia="方正仿宋_GBK" w:cs="Times New Roman"/>
          <w:sz w:val="32"/>
          <w:szCs w:val="32"/>
        </w:rPr>
      </w:pPr>
      <w:r>
        <w:rPr>
          <w:rFonts w:hint="eastAsia" w:ascii="方正黑体_GBK" w:hAnsi="Times New Roman" w:eastAsia="方正黑体_GBK" w:cs="Times New Roman"/>
          <w:sz w:val="32"/>
          <w:szCs w:val="32"/>
        </w:rPr>
        <w:t>四是不断优化惠企服务能力。</w:t>
      </w:r>
      <w:r>
        <w:rPr>
          <w:rFonts w:hint="eastAsia" w:ascii="Times New Roman" w:hAnsi="Times New Roman" w:eastAsia="方正仿宋_GBK" w:cs="Times New Roman"/>
          <w:sz w:val="32"/>
          <w:szCs w:val="32"/>
        </w:rPr>
        <w:t>优化企业开办、变更、注销等全生命周期发展服务和要素保障，积极推进“个转企”“分转子”工作；深化“三提三即”改革，为市场主体提供更加便捷高效的综合服务体系；依托“锡企服务平台”进一步推动惠企服务提档升级，不断提升市场主体获得感；创新公共资源交易管理，深化信用管理在招投标领域的综合应用，促进公共资源交易区域一体化高质量发展；全面提升网上中介超市服务能力，加大应用推广力度。</w:t>
      </w:r>
    </w:p>
    <w:p w14:paraId="590AEC1F">
      <w:pPr>
        <w:spacing w:line="560" w:lineRule="exact"/>
        <w:ind w:firstLine="640" w:firstLineChars="200"/>
        <w:rPr>
          <w:rFonts w:ascii="Times New Roman" w:hAnsi="Times New Roman" w:eastAsia="方正仿宋_GBK" w:cs="Times New Roman"/>
          <w:sz w:val="32"/>
          <w:szCs w:val="32"/>
        </w:rPr>
      </w:pPr>
      <w:r>
        <w:rPr>
          <w:rFonts w:hint="eastAsia" w:ascii="方正黑体_GBK" w:hAnsi="Times New Roman" w:eastAsia="方正黑体_GBK" w:cs="Times New Roman"/>
          <w:sz w:val="32"/>
          <w:szCs w:val="32"/>
        </w:rPr>
        <w:t>五是提供更加优质政务服务。</w:t>
      </w:r>
      <w:r>
        <w:rPr>
          <w:rFonts w:hint="eastAsia" w:ascii="Times New Roman" w:hAnsi="Times New Roman" w:eastAsia="方正仿宋_GBK" w:cs="Times New Roman"/>
          <w:sz w:val="32"/>
          <w:szCs w:val="32"/>
        </w:rPr>
        <w:t>持续推进政务服务标准化、数字化、便利化建设，加强电子证照、电子印章归依和应用，推动更多高频事项“网上办”“掌上办”“一次办”；以“高效办成一件事”为抓手，推进国定13项、省定26项、市区两级共不少于10项“一件事”落地实施，加大宣传力度、做好对接协调、提升办件情况。更大力度推进实施“微幸福”民生工程，推进群众诉求高效办理。</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48E0ED3-57DF-4AFB-960C-B9B17F34609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C0DCC19-EACA-4756-9C37-FFFB5024692C}"/>
  </w:font>
  <w:font w:name="方正小标宋简体">
    <w:panose1 w:val="02000000000000000000"/>
    <w:charset w:val="86"/>
    <w:family w:val="script"/>
    <w:pitch w:val="default"/>
    <w:sig w:usb0="00000001" w:usb1="08000000" w:usb2="00000000" w:usb3="00000000" w:csb0="00040000" w:csb1="00000000"/>
    <w:embedRegular r:id="rId3" w:fontKey="{652462BA-F434-4220-A779-BCD51EF13126}"/>
  </w:font>
  <w:font w:name="方正仿宋_GBK">
    <w:panose1 w:val="03000509000000000000"/>
    <w:charset w:val="86"/>
    <w:family w:val="script"/>
    <w:pitch w:val="default"/>
    <w:sig w:usb0="00000001" w:usb1="080E0000" w:usb2="00000000" w:usb3="00000000" w:csb0="00040000" w:csb1="00000000"/>
    <w:embedRegular r:id="rId4" w:fontKey="{94D65CA8-9CDC-483E-8883-345228491F06}"/>
  </w:font>
  <w:font w:name="方正黑体_GBK">
    <w:panose1 w:val="03000509000000000000"/>
    <w:charset w:val="86"/>
    <w:family w:val="script"/>
    <w:pitch w:val="default"/>
    <w:sig w:usb0="00000001" w:usb1="080E0000" w:usb2="00000000" w:usb3="00000000" w:csb0="00040000" w:csb1="00000000"/>
    <w:embedRegular r:id="rId5" w:fontKey="{BD718B67-0C2E-4459-9685-D905B29D2325}"/>
  </w:font>
  <w:font w:name="方正楷体_GBK">
    <w:panose1 w:val="03000509000000000000"/>
    <w:charset w:val="86"/>
    <w:family w:val="script"/>
    <w:pitch w:val="default"/>
    <w:sig w:usb0="00000001" w:usb1="080E0000" w:usb2="00000000" w:usb3="00000000" w:csb0="00040000" w:csb1="00000000"/>
    <w:embedRegular r:id="rId6" w:fontKey="{22F22924-599B-43E5-AE89-6D836166DEC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694011"/>
    </w:sdtPr>
    <w:sdtEndPr>
      <w:rPr>
        <w:rFonts w:asciiTheme="majorEastAsia" w:hAnsiTheme="majorEastAsia" w:eastAsiaTheme="majorEastAsia"/>
        <w:sz w:val="28"/>
        <w:szCs w:val="28"/>
      </w:rPr>
    </w:sdtEndPr>
    <w:sdtContent>
      <w:p w14:paraId="11DABD5C">
        <w:pPr>
          <w:pStyle w:val="3"/>
          <w:jc w:val="center"/>
          <w:rPr>
            <w:rFonts w:asciiTheme="majorEastAsia" w:hAnsiTheme="majorEastAsia" w:eastAsiaTheme="majorEastAsia"/>
            <w:sz w:val="28"/>
            <w:szCs w:val="28"/>
          </w:rPr>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 PAGE   \* MERGEFORMAT </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w:t>
        </w:r>
        <w:r>
          <w:rPr>
            <w:rFonts w:asciiTheme="majorEastAsia" w:hAnsiTheme="majorEastAsia" w:eastAsiaTheme="majorEastAsia"/>
            <w:sz w:val="28"/>
            <w:szCs w:val="28"/>
          </w:rPr>
          <w:t xml:space="preserve"> 6 -</w:t>
        </w:r>
        <w:r>
          <w:rPr>
            <w:rFonts w:asciiTheme="majorEastAsia" w:hAnsiTheme="majorEastAsia" w:eastAsiaTheme="majorEastAsia"/>
            <w:sz w:val="28"/>
            <w:szCs w:val="28"/>
          </w:rPr>
          <w:fldChar w:fldCharType="end"/>
        </w:r>
      </w:p>
    </w:sdtContent>
  </w:sdt>
  <w:p w14:paraId="0E7B0505">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TkwMTUxOTRhZTczYjlhOTU5MjIwMzdjYjQ5YTA4MTEifQ=="/>
  </w:docVars>
  <w:rsids>
    <w:rsidRoot w:val="001A096A"/>
    <w:rsid w:val="000218C2"/>
    <w:rsid w:val="000237EF"/>
    <w:rsid w:val="000248CF"/>
    <w:rsid w:val="00066FA8"/>
    <w:rsid w:val="00093290"/>
    <w:rsid w:val="0009567B"/>
    <w:rsid w:val="000A2368"/>
    <w:rsid w:val="000C141C"/>
    <w:rsid w:val="000C4217"/>
    <w:rsid w:val="000D34FC"/>
    <w:rsid w:val="000D5B3B"/>
    <w:rsid w:val="000F1884"/>
    <w:rsid w:val="00104FD9"/>
    <w:rsid w:val="0014654B"/>
    <w:rsid w:val="0017017B"/>
    <w:rsid w:val="0019298D"/>
    <w:rsid w:val="001A096A"/>
    <w:rsid w:val="001B5913"/>
    <w:rsid w:val="001B7D21"/>
    <w:rsid w:val="001C3180"/>
    <w:rsid w:val="001D06C6"/>
    <w:rsid w:val="001E2560"/>
    <w:rsid w:val="001E6E07"/>
    <w:rsid w:val="001E6FB7"/>
    <w:rsid w:val="00207F41"/>
    <w:rsid w:val="002255BC"/>
    <w:rsid w:val="00227BAD"/>
    <w:rsid w:val="00233C2B"/>
    <w:rsid w:val="002502CE"/>
    <w:rsid w:val="00253FA8"/>
    <w:rsid w:val="00254E5D"/>
    <w:rsid w:val="002551F3"/>
    <w:rsid w:val="00265F5D"/>
    <w:rsid w:val="002A6039"/>
    <w:rsid w:val="002B1D2B"/>
    <w:rsid w:val="002C1B7C"/>
    <w:rsid w:val="002C3477"/>
    <w:rsid w:val="002C54A1"/>
    <w:rsid w:val="002D7F7B"/>
    <w:rsid w:val="002E047E"/>
    <w:rsid w:val="002E72C8"/>
    <w:rsid w:val="002F2A05"/>
    <w:rsid w:val="003017D5"/>
    <w:rsid w:val="00302057"/>
    <w:rsid w:val="00303A71"/>
    <w:rsid w:val="00305FBD"/>
    <w:rsid w:val="00320AF8"/>
    <w:rsid w:val="00327118"/>
    <w:rsid w:val="00370A5F"/>
    <w:rsid w:val="00373A77"/>
    <w:rsid w:val="003922E2"/>
    <w:rsid w:val="003E770E"/>
    <w:rsid w:val="003F1646"/>
    <w:rsid w:val="00433BFC"/>
    <w:rsid w:val="00442E7C"/>
    <w:rsid w:val="00451B27"/>
    <w:rsid w:val="00462240"/>
    <w:rsid w:val="0046574F"/>
    <w:rsid w:val="004816B1"/>
    <w:rsid w:val="00497FF8"/>
    <w:rsid w:val="00505DE9"/>
    <w:rsid w:val="00511EC3"/>
    <w:rsid w:val="005264CA"/>
    <w:rsid w:val="005428DC"/>
    <w:rsid w:val="00550DB4"/>
    <w:rsid w:val="00564836"/>
    <w:rsid w:val="00597BA5"/>
    <w:rsid w:val="005A4C48"/>
    <w:rsid w:val="005A69A0"/>
    <w:rsid w:val="005D15AB"/>
    <w:rsid w:val="0063464A"/>
    <w:rsid w:val="00661F18"/>
    <w:rsid w:val="00677944"/>
    <w:rsid w:val="006A50B8"/>
    <w:rsid w:val="006B5F24"/>
    <w:rsid w:val="006F7FEE"/>
    <w:rsid w:val="007132F2"/>
    <w:rsid w:val="007344FA"/>
    <w:rsid w:val="00734DF0"/>
    <w:rsid w:val="00736591"/>
    <w:rsid w:val="00740421"/>
    <w:rsid w:val="007A7C16"/>
    <w:rsid w:val="007F1ED1"/>
    <w:rsid w:val="007F3006"/>
    <w:rsid w:val="007F4031"/>
    <w:rsid w:val="007F75D6"/>
    <w:rsid w:val="008159DF"/>
    <w:rsid w:val="008359F2"/>
    <w:rsid w:val="00841020"/>
    <w:rsid w:val="0085073F"/>
    <w:rsid w:val="00874CB1"/>
    <w:rsid w:val="0088382E"/>
    <w:rsid w:val="008C44F5"/>
    <w:rsid w:val="008C55C2"/>
    <w:rsid w:val="008D2E96"/>
    <w:rsid w:val="008E5A3D"/>
    <w:rsid w:val="00901876"/>
    <w:rsid w:val="00906A69"/>
    <w:rsid w:val="00922DA3"/>
    <w:rsid w:val="009456FC"/>
    <w:rsid w:val="00947E0B"/>
    <w:rsid w:val="00955AD1"/>
    <w:rsid w:val="0097644C"/>
    <w:rsid w:val="0098453F"/>
    <w:rsid w:val="0098643A"/>
    <w:rsid w:val="009875D7"/>
    <w:rsid w:val="0099516B"/>
    <w:rsid w:val="009A1343"/>
    <w:rsid w:val="009B7DF8"/>
    <w:rsid w:val="009C3CC8"/>
    <w:rsid w:val="009C4832"/>
    <w:rsid w:val="00A23CAB"/>
    <w:rsid w:val="00A27506"/>
    <w:rsid w:val="00A47048"/>
    <w:rsid w:val="00A60D43"/>
    <w:rsid w:val="00A70684"/>
    <w:rsid w:val="00A739C7"/>
    <w:rsid w:val="00A83898"/>
    <w:rsid w:val="00AA34B3"/>
    <w:rsid w:val="00AA52E3"/>
    <w:rsid w:val="00AC32F7"/>
    <w:rsid w:val="00B16455"/>
    <w:rsid w:val="00B23A6E"/>
    <w:rsid w:val="00B260FD"/>
    <w:rsid w:val="00B3596E"/>
    <w:rsid w:val="00B44C59"/>
    <w:rsid w:val="00B53847"/>
    <w:rsid w:val="00B818C3"/>
    <w:rsid w:val="00BC1827"/>
    <w:rsid w:val="00BD5C1D"/>
    <w:rsid w:val="00BF4867"/>
    <w:rsid w:val="00C07FC6"/>
    <w:rsid w:val="00C12271"/>
    <w:rsid w:val="00C34ACA"/>
    <w:rsid w:val="00C53034"/>
    <w:rsid w:val="00C73447"/>
    <w:rsid w:val="00C86C01"/>
    <w:rsid w:val="00C903C4"/>
    <w:rsid w:val="00CE3E28"/>
    <w:rsid w:val="00CE6B0E"/>
    <w:rsid w:val="00D31A5B"/>
    <w:rsid w:val="00D31D40"/>
    <w:rsid w:val="00D330A5"/>
    <w:rsid w:val="00D53640"/>
    <w:rsid w:val="00D5614D"/>
    <w:rsid w:val="00D67D3C"/>
    <w:rsid w:val="00D729B3"/>
    <w:rsid w:val="00D841FF"/>
    <w:rsid w:val="00DA74B0"/>
    <w:rsid w:val="00DB3465"/>
    <w:rsid w:val="00DB4DD3"/>
    <w:rsid w:val="00DD010B"/>
    <w:rsid w:val="00DE767C"/>
    <w:rsid w:val="00DF036D"/>
    <w:rsid w:val="00E349B4"/>
    <w:rsid w:val="00E4198D"/>
    <w:rsid w:val="00E47458"/>
    <w:rsid w:val="00E50C49"/>
    <w:rsid w:val="00E70148"/>
    <w:rsid w:val="00E84ECD"/>
    <w:rsid w:val="00EC08EA"/>
    <w:rsid w:val="00F55F1B"/>
    <w:rsid w:val="00F74866"/>
    <w:rsid w:val="00F8275A"/>
    <w:rsid w:val="00F91940"/>
    <w:rsid w:val="00FD0AEA"/>
    <w:rsid w:val="00FE7C8C"/>
    <w:rsid w:val="2BCB5F1A"/>
    <w:rsid w:val="65046D4E"/>
    <w:rsid w:val="6F5B459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uiPriority w:val="99"/>
    <w:rPr>
      <w:sz w:val="18"/>
      <w:szCs w:val="18"/>
    </w:rPr>
  </w:style>
  <w:style w:type="character" w:customStyle="1" w:styleId="8">
    <w:name w:val="页脚 Char"/>
    <w:basedOn w:val="6"/>
    <w:link w:val="3"/>
    <w:uiPriority w:val="99"/>
    <w:rPr>
      <w:sz w:val="18"/>
      <w:szCs w:val="18"/>
    </w:rPr>
  </w:style>
  <w:style w:type="character" w:customStyle="1" w:styleId="9">
    <w:name w:val="批注框文本 Char"/>
    <w:basedOn w:val="6"/>
    <w:link w:val="2"/>
    <w:semiHidden/>
    <w:qFormat/>
    <w:uiPriority w:val="99"/>
    <w:rPr>
      <w:kern w:val="2"/>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2994</Words>
  <Characters>3060</Characters>
  <Lines>21</Lines>
  <Paragraphs>6</Paragraphs>
  <TotalTime>11</TotalTime>
  <ScaleCrop>false</ScaleCrop>
  <LinksUpToDate>false</LinksUpToDate>
  <CharactersWithSpaces>3063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2024-11-15T06:15:00Z</dcterms:created>
  <dc:creator>user</dc:creator>
  <cp:lastModifiedBy>Queenie</cp:lastModifiedBy>
  <cp:lastPrinted>2018-09-05T07:09:00Z</cp:lastPrinted>
  <dcterms:modified xsi:type="dcterms:W3CDTF">2024-11-15T06:28:50Z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1E04DBFD16D64B98A374B5A0000EE2FE_12</vt:lpwstr>
  </property>
</Properties>
</file>