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DAA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default" w:ascii="Times New Roman" w:hAnsi="Times New Roman" w:eastAsia="方正小标宋_GBK" w:cs="Times New Roman"/>
          <w:b w:val="0"/>
          <w:bCs w:val="0"/>
          <w:color w:val="auto"/>
          <w:sz w:val="32"/>
          <w:szCs w:val="32"/>
          <w:lang w:val="en-US" w:eastAsia="zh-CN"/>
        </w:rPr>
      </w:pPr>
      <w:r>
        <w:rPr>
          <w:rFonts w:hint="default" w:ascii="Times New Roman" w:hAnsi="Times New Roman" w:eastAsia="方正小标宋_GBK" w:cs="Times New Roman"/>
          <w:b w:val="0"/>
          <w:bCs w:val="0"/>
          <w:color w:val="auto"/>
          <w:sz w:val="32"/>
          <w:szCs w:val="32"/>
          <w:lang w:val="en-US" w:eastAsia="zh-CN"/>
        </w:rPr>
        <w:t>2024年7月</w:t>
      </w:r>
      <w:r>
        <w:rPr>
          <w:rFonts w:hint="eastAsia" w:ascii="Times New Roman" w:hAnsi="Times New Roman" w:eastAsia="方正小标宋_GBK" w:cs="Times New Roman"/>
          <w:b w:val="0"/>
          <w:bCs w:val="0"/>
          <w:color w:val="auto"/>
          <w:sz w:val="32"/>
          <w:szCs w:val="32"/>
          <w:lang w:val="en-US" w:eastAsia="zh-CN"/>
        </w:rPr>
        <w:t>份</w:t>
      </w:r>
      <w:r>
        <w:rPr>
          <w:rFonts w:hint="default" w:ascii="Times New Roman" w:hAnsi="Times New Roman" w:eastAsia="方正小标宋_GBK" w:cs="Times New Roman"/>
          <w:b w:val="0"/>
          <w:bCs w:val="0"/>
          <w:color w:val="auto"/>
          <w:sz w:val="32"/>
          <w:szCs w:val="32"/>
          <w:lang w:val="en-US" w:eastAsia="zh-CN"/>
        </w:rPr>
        <w:t>梁溪区</w:t>
      </w:r>
      <w:r>
        <w:rPr>
          <w:rFonts w:hint="eastAsia" w:ascii="Times New Roman" w:hAnsi="Times New Roman" w:eastAsia="方正小标宋_GBK" w:cs="Times New Roman"/>
          <w:b w:val="0"/>
          <w:bCs w:val="0"/>
          <w:color w:val="auto"/>
          <w:sz w:val="32"/>
          <w:szCs w:val="32"/>
          <w:lang w:val="en-US" w:eastAsia="zh-CN"/>
        </w:rPr>
        <w:t>工业企业</w:t>
      </w:r>
      <w:r>
        <w:rPr>
          <w:rFonts w:hint="default" w:ascii="Times New Roman" w:hAnsi="Times New Roman" w:eastAsia="方正小标宋_GBK" w:cs="Times New Roman"/>
          <w:b w:val="0"/>
          <w:bCs w:val="0"/>
          <w:color w:val="auto"/>
          <w:sz w:val="32"/>
          <w:szCs w:val="32"/>
          <w:lang w:val="en-US" w:eastAsia="zh-CN"/>
        </w:rPr>
        <w:t>应急管理综合行政执法事项和执法对象公示</w:t>
      </w:r>
    </w:p>
    <w:p w14:paraId="67AB0C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p>
    <w:p w14:paraId="4B0438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rPr>
        <w:t>为提高监管效能，加强指导服务</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营造良好的营商环境</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根据《</w:t>
      </w:r>
      <w:r>
        <w:rPr>
          <w:rFonts w:hint="eastAsia" w:ascii="方正仿宋_GBK" w:hAnsi="方正仿宋_GBK" w:eastAsia="方正仿宋_GBK" w:cs="方正仿宋_GBK"/>
          <w:color w:val="auto"/>
          <w:sz w:val="24"/>
          <w:szCs w:val="24"/>
          <w:lang w:val="en-US" w:eastAsia="zh-CN"/>
        </w:rPr>
        <w:t>2024年8月份</w:t>
      </w:r>
      <w:r>
        <w:rPr>
          <w:rFonts w:hint="eastAsia" w:ascii="方正仿宋_GBK" w:hAnsi="方正仿宋_GBK" w:eastAsia="方正仿宋_GBK" w:cs="方正仿宋_GBK"/>
          <w:color w:val="auto"/>
          <w:sz w:val="24"/>
          <w:szCs w:val="24"/>
        </w:rPr>
        <w:t>梁溪区</w:t>
      </w:r>
      <w:r>
        <w:rPr>
          <w:rFonts w:hint="eastAsia" w:ascii="方正仿宋_GBK" w:hAnsi="方正仿宋_GBK" w:eastAsia="方正仿宋_GBK" w:cs="方正仿宋_GBK"/>
          <w:color w:val="auto"/>
          <w:sz w:val="24"/>
          <w:szCs w:val="24"/>
          <w:lang w:val="en-US" w:eastAsia="zh-CN"/>
        </w:rPr>
        <w:t>安全生产二级执法计划》要求，梁溪区应急管理局8月份将对以下39家工业企业进行安全生产执法检查。为全面提升我区应急管理综合行政执法工作的标准化水平，做到严格、规范、公正、文明执法，现将执法对象和执法事项公示如下。</w:t>
      </w:r>
    </w:p>
    <w:p w14:paraId="1A33C6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rPr>
          <w:rFonts w:hint="default" w:ascii="方正仿宋_GBK" w:hAnsi="方正仿宋_GBK" w:eastAsia="方正仿宋_GBK" w:cs="方正仿宋_GBK"/>
          <w:color w:val="auto"/>
          <w:sz w:val="24"/>
          <w:szCs w:val="24"/>
          <w:lang w:val="en-US" w:eastAsia="zh-CN"/>
        </w:rPr>
      </w:pPr>
      <w:r>
        <w:rPr>
          <w:rStyle w:val="9"/>
          <w:rFonts w:hint="eastAsia" w:ascii="方正仿宋_GBK" w:hAnsi="方正仿宋_GBK" w:eastAsia="方正仿宋_GBK" w:cs="方正仿宋_GBK"/>
          <w:color w:val="auto"/>
          <w:sz w:val="24"/>
          <w:szCs w:val="24"/>
          <w:lang w:val="en-US" w:eastAsia="zh-CN"/>
        </w:rPr>
        <w:t>执法事项</w:t>
      </w:r>
    </w:p>
    <w:p w14:paraId="62ACAA89">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1、各类安全证照：</w:t>
      </w:r>
      <w:r>
        <w:rPr>
          <w:rFonts w:hint="eastAsia" w:ascii="方正仿宋_GBK" w:hAnsi="方正仿宋_GBK" w:eastAsia="方正仿宋_GBK" w:cs="方正仿宋_GBK"/>
          <w:color w:val="auto"/>
          <w:sz w:val="24"/>
          <w:szCs w:val="24"/>
        </w:rPr>
        <w:t>工商营业执照原件或复印件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主要负责人和安全管理人员资格证、特种作业操作证等</w:t>
      </w:r>
      <w:r>
        <w:rPr>
          <w:rFonts w:hint="eastAsia" w:ascii="方正仿宋_GBK" w:hAnsi="方正仿宋_GBK" w:eastAsia="方正仿宋_GBK" w:cs="方正仿宋_GBK"/>
          <w:color w:val="auto"/>
          <w:sz w:val="24"/>
          <w:szCs w:val="24"/>
          <w:lang w:eastAsia="zh-CN"/>
        </w:rPr>
        <w:t>。</w:t>
      </w:r>
    </w:p>
    <w:p w14:paraId="424F2706">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2、各类安全报告：</w:t>
      </w:r>
      <w:r>
        <w:rPr>
          <w:rFonts w:hint="eastAsia" w:ascii="方正仿宋_GBK" w:hAnsi="方正仿宋_GBK" w:eastAsia="方正仿宋_GBK" w:cs="方正仿宋_GBK"/>
          <w:color w:val="auto"/>
          <w:sz w:val="24"/>
          <w:szCs w:val="24"/>
        </w:rPr>
        <w:t>安全现状评价报告、</w:t>
      </w:r>
      <w:r>
        <w:rPr>
          <w:rFonts w:hint="eastAsia" w:ascii="方正仿宋_GBK" w:hAnsi="方正仿宋_GBK" w:eastAsia="方正仿宋_GBK" w:cs="方正仿宋_GBK"/>
          <w:color w:val="auto"/>
          <w:sz w:val="24"/>
          <w:szCs w:val="24"/>
          <w:lang w:val="en-US" w:eastAsia="zh-CN"/>
        </w:rPr>
        <w:t>防雷检测报告、特种设备检测报告等</w:t>
      </w:r>
      <w:r>
        <w:rPr>
          <w:rFonts w:hint="eastAsia" w:ascii="方正仿宋_GBK" w:hAnsi="方正仿宋_GBK" w:eastAsia="方正仿宋_GBK" w:cs="方正仿宋_GBK"/>
          <w:color w:val="auto"/>
          <w:sz w:val="24"/>
          <w:szCs w:val="24"/>
          <w:lang w:eastAsia="zh-CN"/>
        </w:rPr>
        <w:t>。</w:t>
      </w:r>
    </w:p>
    <w:p w14:paraId="2E276875">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各类安全管理制度、操作规程：安全生产目标管理和责任追究制度，劳动防护用品使用和管理制度，安全生产教育培训管理考核制度，设施、设备综合安全管理制度以及安全设施、设备维护、保养和检修、维修制度，应急救援预案和应急体系管理制度，双控机制等。</w:t>
      </w:r>
    </w:p>
    <w:p w14:paraId="6B519E0F">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安全责任制落实资料：设置安全管理机构、专职或兼职安全生产管理人员的文件；“厂中厂”企业需要提供生产经营单位与承包单位、承租单位签订专门的安全生产管理协议或者指定专职安全生产管理人员进行安全检查与协调的资料等。</w:t>
      </w:r>
    </w:p>
    <w:p w14:paraId="505C8D14">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5、安全生产工作记录：日常安全检查记录；安全会议记录；对从业人员、被派遣劳动者、实习生安全生产教育培训，如实告知安全生产事项记录；安全生产事故应急救援预案定期演练记录；如实记录事故隐患排查治理情况或告知员工的记录等。</w:t>
      </w:r>
    </w:p>
    <w:p w14:paraId="72C6E00A">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6、安全生产现场隐患检查：火灾防范、现场作业、危化品使用、“厂中厂”管理、“生命通道”、委外作业管理等。</w:t>
      </w:r>
    </w:p>
    <w:p w14:paraId="06DC1C4C">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7、“逢查必考”：对主要负责人按照要求进行安全生产知识书面考核，成绩将录入执法系统。</w:t>
      </w:r>
    </w:p>
    <w:p w14:paraId="44C7325C">
      <w:pPr>
        <w:pStyle w:val="2"/>
        <w:keepNext w:val="0"/>
        <w:keepLines w:val="0"/>
        <w:pageBreakBefore w:val="0"/>
        <w:kinsoku/>
        <w:wordWrap/>
        <w:overflowPunct/>
        <w:topLinePunct w:val="0"/>
        <w:autoSpaceDE/>
        <w:autoSpaceDN/>
        <w:bidi w:val="0"/>
        <w:adjustRightInd/>
        <w:snapToGrid/>
        <w:spacing w:after="0" w:line="400" w:lineRule="exact"/>
        <w:ind w:left="0" w:leftChars="0" w:firstLine="480" w:firstLineChars="200"/>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8、动火作业专项：生产经营单位是否建立健全动火作业安全管理和动火作业审批制度；生产经营单位的特种作业人员是否按照国家有关规定经专门的安全作业培训，取得相应资格上岗作业；生产经营单位进行动火作业是否安排专门人员进行现场安全管理，并确保操作规程的遵守和安全措施的落实；生产经营单位开展外委外包动火作业时是否签订安全生产管理协议，对安全生产工作进行统一协调、管理；危险化学品企业是否按照要求制定动火作业管理制度；是否履行许可手续；是否按规定进行气体分析；动火作业人员是否伪造、涂改特种作业操作证，或者使用伪造的特种作业操作证；动火作业人员是否转借、转让、冒用特种作业操作证；动火作业人员是否配备符合国家标准的劳动防护用品；动火作业是否制定相应的现场应急处置方案；动火作业是否进行安全风险评估，是否确认现场作业条件符合安全作业要求；动火作业前是否向作业人员告知危险因素、作业安全要求和现场应急处置措施，并经双方现场签字确认；焊接与热切割作业培训机构是否存在档案不规范、未按照大纲内容和学时进行培训，未将有关生产安全事故案例纳入警示教育等情形；法律、法规、规章和相关政策文件规定的其他要求。</w:t>
      </w:r>
    </w:p>
    <w:p w14:paraId="614F0B5D">
      <w:pPr>
        <w:pStyle w:val="2"/>
        <w:keepNext w:val="0"/>
        <w:keepLines w:val="0"/>
        <w:pageBreakBefore w:val="0"/>
        <w:kinsoku/>
        <w:wordWrap/>
        <w:overflowPunct/>
        <w:topLinePunct w:val="0"/>
        <w:autoSpaceDE/>
        <w:autoSpaceDN/>
        <w:bidi w:val="0"/>
        <w:adjustRightInd/>
        <w:snapToGrid/>
        <w:spacing w:after="0" w:line="400" w:lineRule="exact"/>
        <w:ind w:left="0" w:leftChars="0" w:firstLine="480" w:firstLineChars="200"/>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厂中厂”专项整治：根据省厅指示要求，8月份全面开展为期一个月的集中攻坚治理行动。把单栋厂房的分割，分层出租的厂中厂作为重点的对象，全面拆除占用防火间距和逃生通道的违章搭建，彻底打通生命通道。金属冶炼、粉尘涉爆、化纤等高风险企业，需要设在独立的单栋厂房内，不允许分割、分层租赁；</w:t>
      </w:r>
      <w:bookmarkStart w:id="0" w:name="_GoBack"/>
      <w:bookmarkEnd w:id="0"/>
      <w:r>
        <w:rPr>
          <w:rFonts w:hint="eastAsia" w:ascii="方正仿宋_GBK" w:hAnsi="方正仿宋_GBK" w:eastAsia="方正仿宋_GBK" w:cs="方正仿宋_GBK"/>
          <w:sz w:val="24"/>
          <w:szCs w:val="24"/>
          <w:lang w:val="en-US" w:eastAsia="zh-CN"/>
        </w:rPr>
        <w:t>对已经存在的，要加快清理出清，避免风险的叠加。督促企业经常性开展应急逃生演练，确保员工熟悉逃生通道和安全出口。压紧压实出租、承租双方的责任，推动完善“出租方主动牵头、承租方积极配合、各方落实安全责任协调联动”的管理机制，坚决杜绝“一包了之”“一租了之”的情况。</w:t>
      </w:r>
    </w:p>
    <w:p w14:paraId="55E59187">
      <w:pPr>
        <w:rPr>
          <w:rFonts w:hint="default"/>
          <w:lang w:val="en-US" w:eastAsia="zh-CN"/>
        </w:rPr>
      </w:pPr>
    </w:p>
    <w:p w14:paraId="57821F69">
      <w:pPr>
        <w:pStyle w:val="2"/>
        <w:ind w:left="0" w:leftChars="0" w:firstLine="482" w:firstLineChars="200"/>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执法对象</w:t>
      </w:r>
    </w:p>
    <w:tbl>
      <w:tblPr>
        <w:tblStyle w:val="7"/>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7365"/>
      </w:tblGrid>
      <w:tr w14:paraId="3981C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1A6F87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lang w:val="en-US" w:eastAsia="zh-CN"/>
              </w:rPr>
            </w:pPr>
            <w:r>
              <w:rPr>
                <w:rFonts w:hint="eastAsia" w:ascii="方正黑体_GBK" w:hAnsi="方正黑体_GBK" w:eastAsia="方正黑体_GBK" w:cs="方正黑体_GBK"/>
                <w:i w:val="0"/>
                <w:iCs w:val="0"/>
                <w:color w:val="auto"/>
                <w:sz w:val="24"/>
                <w:szCs w:val="24"/>
                <w:u w:val="none"/>
                <w:lang w:val="en-US" w:eastAsia="zh-CN"/>
              </w:rPr>
              <w:t>序号</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D4A124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rPr>
            </w:pPr>
            <w:r>
              <w:rPr>
                <w:rFonts w:hint="eastAsia" w:ascii="方正黑体_GBK" w:hAnsi="方正黑体_GBK" w:eastAsia="方正黑体_GBK" w:cs="方正黑体_GBK"/>
                <w:i w:val="0"/>
                <w:iCs w:val="0"/>
                <w:color w:val="auto"/>
                <w:kern w:val="0"/>
                <w:sz w:val="24"/>
                <w:szCs w:val="24"/>
                <w:u w:val="none"/>
                <w:lang w:val="en-US" w:eastAsia="zh-CN" w:bidi="ar"/>
              </w:rPr>
              <w:t>企业名称</w:t>
            </w:r>
          </w:p>
        </w:tc>
      </w:tr>
      <w:tr w14:paraId="1008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4D5D7B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554D40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无锡泰科勒精密机械有限公司</w:t>
            </w:r>
          </w:p>
        </w:tc>
      </w:tr>
      <w:tr w14:paraId="4642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BE399E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7141DC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无锡威斯泰康科技有限公司</w:t>
            </w:r>
          </w:p>
        </w:tc>
      </w:tr>
      <w:tr w14:paraId="45A1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A75714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68161D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无锡新生代纺织机械有限公司</w:t>
            </w:r>
          </w:p>
        </w:tc>
      </w:tr>
      <w:tr w14:paraId="41128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EE9BB1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140E2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无锡市儒文化办公用品贸易有限公司</w:t>
            </w:r>
          </w:p>
        </w:tc>
      </w:tr>
      <w:tr w14:paraId="413C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E986AD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8389A0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无锡奥菲得机械科技有限公司</w:t>
            </w:r>
          </w:p>
        </w:tc>
      </w:tr>
      <w:tr w14:paraId="61911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26DE01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B27B3A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无锡成诺精密机械有限公司</w:t>
            </w:r>
          </w:p>
        </w:tc>
      </w:tr>
      <w:tr w14:paraId="5D70E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2F455D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A4B6DB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无锡伏尔加包装材料有限公司</w:t>
            </w:r>
          </w:p>
        </w:tc>
      </w:tr>
      <w:tr w14:paraId="0630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2CF33E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37868A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无锡光一光轴制造有限公司</w:t>
            </w:r>
          </w:p>
        </w:tc>
      </w:tr>
      <w:tr w14:paraId="6462A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CEE861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0AE8F8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无锡市科士特安全设备有限公司</w:t>
            </w:r>
          </w:p>
        </w:tc>
      </w:tr>
      <w:tr w14:paraId="02830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E6DC33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444790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无锡市赛文特电子设备有限公司</w:t>
            </w:r>
          </w:p>
        </w:tc>
      </w:tr>
      <w:tr w14:paraId="7FA1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942B4E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23535A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无锡市祥日机械设备有限公司</w:t>
            </w:r>
          </w:p>
        </w:tc>
      </w:tr>
      <w:tr w14:paraId="724FA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BEFA6C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1996BA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无锡市芯海微电子科技有限公司</w:t>
            </w:r>
          </w:p>
        </w:tc>
      </w:tr>
      <w:tr w14:paraId="141E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A72B6D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CC37FA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无锡市诺尔德物资有限公司</w:t>
            </w:r>
          </w:p>
        </w:tc>
      </w:tr>
      <w:tr w14:paraId="22C4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794925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390DF3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无锡凯途生物技术有限公司</w:t>
            </w:r>
          </w:p>
        </w:tc>
      </w:tr>
      <w:tr w14:paraId="3DA9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3347E4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A36EF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无锡苏宁商业管理有限公司</w:t>
            </w:r>
          </w:p>
        </w:tc>
      </w:tr>
      <w:tr w14:paraId="0717C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0B2CE9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1F9E2E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无锡元鼎丰商贸有限公司</w:t>
            </w:r>
          </w:p>
        </w:tc>
      </w:tr>
      <w:tr w14:paraId="430E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8BF6B2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936ECF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i w:val="0"/>
                <w:strike w:val="0"/>
                <w:color w:val="auto"/>
                <w:spacing w:val="0"/>
                <w:kern w:val="2"/>
                <w:sz w:val="24"/>
                <w:szCs w:val="24"/>
                <w:u w:val="none"/>
                <w:lang w:val="en-US" w:eastAsia="zh-CN" w:bidi="ar-SA"/>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无锡市湖景实验仪器有限公司</w:t>
            </w:r>
          </w:p>
        </w:tc>
      </w:tr>
      <w:tr w14:paraId="0C754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BDA4E1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97FF78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4"/>
                <w:w w:val="100"/>
                <w:sz w:val="24"/>
                <w:szCs w:val="24"/>
                <w:vertAlign w:val="baseline"/>
              </w:rPr>
              <w:t>无锡恒之爱健康管理有限公司</w:t>
            </w:r>
          </w:p>
        </w:tc>
      </w:tr>
      <w:tr w14:paraId="350E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8D4B41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FC5030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无锡市联合恒洲化工有限公司</w:t>
            </w:r>
          </w:p>
        </w:tc>
      </w:tr>
      <w:tr w14:paraId="2A670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EF4FD8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19AF18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无锡市恒懋科贸有限公司</w:t>
            </w:r>
          </w:p>
        </w:tc>
      </w:tr>
      <w:tr w14:paraId="2B354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8F61B4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B34DC8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w w:val="100"/>
                <w:sz w:val="24"/>
                <w:szCs w:val="24"/>
                <w:vertAlign w:val="baseline"/>
              </w:rPr>
              <w:t>中设无锡机械设备工程有限公司</w:t>
            </w:r>
          </w:p>
        </w:tc>
      </w:tr>
      <w:tr w14:paraId="3C72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33F106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8ADF2B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无锡瀚脉科技发展有限公司</w:t>
            </w:r>
          </w:p>
        </w:tc>
      </w:tr>
      <w:tr w14:paraId="17BF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80F8B2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5FB030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无锡市博奥斯新材料有限公司</w:t>
            </w:r>
          </w:p>
        </w:tc>
      </w:tr>
      <w:tr w14:paraId="49A3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7164F4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6828C3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无锡市群毅精工机械有限公司</w:t>
            </w:r>
          </w:p>
        </w:tc>
      </w:tr>
      <w:tr w14:paraId="6D29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2FC9DA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9824C9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无锡市中鑫工贸有限公司</w:t>
            </w:r>
          </w:p>
        </w:tc>
      </w:tr>
      <w:tr w14:paraId="66F66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45617A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DE89EC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无锡市华源泵业制造有限公司</w:t>
            </w:r>
          </w:p>
        </w:tc>
      </w:tr>
      <w:tr w14:paraId="0810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098DFD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20F87D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w w:val="100"/>
                <w:sz w:val="24"/>
                <w:szCs w:val="24"/>
                <w:vertAlign w:val="baseline"/>
              </w:rPr>
              <w:t>无锡西佩意电子有限公司</w:t>
            </w:r>
          </w:p>
        </w:tc>
      </w:tr>
      <w:tr w14:paraId="2876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F436B7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D7F907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无锡芯坤电子科技有限公司</w:t>
            </w:r>
          </w:p>
        </w:tc>
      </w:tr>
      <w:tr w14:paraId="7104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F105C9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F28AFB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无锡市凯富瑞克精密量仪有限公司</w:t>
            </w:r>
          </w:p>
        </w:tc>
      </w:tr>
      <w:tr w14:paraId="3AD3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D4A58D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5E24AD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江苏芯萍电子科技有限公司</w:t>
            </w:r>
          </w:p>
        </w:tc>
      </w:tr>
      <w:tr w14:paraId="7F2D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F9D7BD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234752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无锡市天使制衣厂</w:t>
            </w:r>
          </w:p>
        </w:tc>
      </w:tr>
      <w:tr w14:paraId="65B4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2F05AD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8C14F1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无锡蕴加纺织科技有限公司</w:t>
            </w:r>
          </w:p>
        </w:tc>
      </w:tr>
      <w:tr w14:paraId="7C27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BC000E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DF21BD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无锡轻大食品装备有限公司</w:t>
            </w:r>
          </w:p>
        </w:tc>
      </w:tr>
      <w:tr w14:paraId="3BEE4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C95891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76B8A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w w:val="100"/>
                <w:sz w:val="24"/>
                <w:szCs w:val="24"/>
                <w:vertAlign w:val="baseline"/>
              </w:rPr>
              <w:t>无锡丰博服饰有限公司</w:t>
            </w:r>
          </w:p>
        </w:tc>
      </w:tr>
      <w:tr w14:paraId="5D2EF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3FB0BF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kern w:val="2"/>
                <w:sz w:val="24"/>
                <w:szCs w:val="24"/>
                <w:vertAlign w:val="baseline"/>
                <w:lang w:val="en-US" w:eastAsia="zh-CN" w:bidi="ar-SA"/>
              </w:rPr>
              <w:t>35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A977B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无锡一线天针纺织品有限公司</w:t>
            </w:r>
          </w:p>
        </w:tc>
      </w:tr>
      <w:tr w14:paraId="1F7D6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DEB88A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D37853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无锡恩测智能科技有限公司</w:t>
            </w:r>
          </w:p>
        </w:tc>
      </w:tr>
      <w:tr w14:paraId="5A75E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F53EDC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76D7CC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无锡嘉明纳纺织品有限公司</w:t>
            </w:r>
          </w:p>
        </w:tc>
      </w:tr>
      <w:tr w14:paraId="4540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3CDF11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A316D2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无锡天源针织有限公司</w:t>
            </w:r>
          </w:p>
        </w:tc>
      </w:tr>
      <w:tr w14:paraId="5740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D1E6A4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7A7138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w w:val="100"/>
                <w:sz w:val="24"/>
                <w:szCs w:val="24"/>
                <w:vertAlign w:val="baseline"/>
              </w:rPr>
              <w:t>无锡泰科勒精密机械有限公司</w:t>
            </w:r>
          </w:p>
        </w:tc>
      </w:tr>
    </w:tbl>
    <w:p w14:paraId="7D280BD0">
      <w:pPr>
        <w:keepNext w:val="0"/>
        <w:keepLines w:val="0"/>
        <w:pageBreakBefore w:val="0"/>
        <w:kinsoku/>
        <w:wordWrap/>
        <w:overflowPunct/>
        <w:topLinePunct w:val="0"/>
        <w:autoSpaceDE/>
        <w:autoSpaceDN/>
        <w:bidi w:val="0"/>
        <w:adjustRightInd/>
        <w:snapToGrid/>
        <w:spacing w:line="520" w:lineRule="exact"/>
        <w:ind w:leftChars="0" w:firstLine="480" w:firstLineChars="200"/>
        <w:jc w:val="both"/>
      </w:pPr>
      <w:r>
        <w:rPr>
          <w:rFonts w:hint="eastAsia" w:ascii="方正仿宋_GBK" w:hAnsi="方正仿宋_GBK" w:eastAsia="方正仿宋_GBK" w:cs="方正仿宋_GBK"/>
          <w:color w:val="auto"/>
          <w:sz w:val="24"/>
          <w:szCs w:val="24"/>
          <w:lang w:val="en-US" w:eastAsia="zh-CN"/>
        </w:rPr>
        <w:t>请</w:t>
      </w:r>
      <w:r>
        <w:rPr>
          <w:rFonts w:hint="eastAsia" w:ascii="方正仿宋_GBK" w:hAnsi="方正仿宋_GBK" w:eastAsia="方正仿宋_GBK" w:cs="方正仿宋_GBK"/>
          <w:color w:val="auto"/>
          <w:sz w:val="24"/>
          <w:szCs w:val="24"/>
        </w:rPr>
        <w:t>通知单位法定代表人或被授权委托人、分管领导、</w:t>
      </w:r>
      <w:r>
        <w:rPr>
          <w:rFonts w:hint="eastAsia" w:ascii="方正仿宋_GBK" w:hAnsi="方正仿宋_GBK" w:eastAsia="方正仿宋_GBK" w:cs="方正仿宋_GBK"/>
          <w:color w:val="auto"/>
          <w:sz w:val="24"/>
          <w:szCs w:val="24"/>
          <w:lang w:val="en-US" w:eastAsia="zh-CN"/>
        </w:rPr>
        <w:t>相关条线</w:t>
      </w:r>
      <w:r>
        <w:rPr>
          <w:rFonts w:hint="eastAsia" w:ascii="方正仿宋_GBK" w:hAnsi="方正仿宋_GBK" w:eastAsia="方正仿宋_GBK" w:cs="方正仿宋_GBK"/>
          <w:color w:val="auto"/>
          <w:sz w:val="24"/>
          <w:szCs w:val="24"/>
        </w:rPr>
        <w:t>安全管理人、归口管理部门负责人，以及</w:t>
      </w:r>
      <w:r>
        <w:rPr>
          <w:rFonts w:hint="eastAsia" w:ascii="方正仿宋_GBK" w:hAnsi="方正仿宋_GBK" w:eastAsia="方正仿宋_GBK" w:cs="方正仿宋_GBK"/>
          <w:color w:val="auto"/>
          <w:sz w:val="24"/>
          <w:szCs w:val="24"/>
          <w:lang w:val="en-US" w:eastAsia="zh-CN"/>
        </w:rPr>
        <w:t>各安全生产</w:t>
      </w:r>
      <w:r>
        <w:rPr>
          <w:rFonts w:hint="eastAsia" w:ascii="方正仿宋_GBK" w:hAnsi="方正仿宋_GBK" w:eastAsia="方正仿宋_GBK" w:cs="方正仿宋_GBK"/>
          <w:color w:val="auto"/>
          <w:sz w:val="24"/>
          <w:szCs w:val="24"/>
        </w:rPr>
        <w:t>技术服务机构项目负责人、物业管理单位项目负责人等到场配合检查。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k0ZWU1NjM3ZGUxY2QzMzIzMGE3OTRlZjAxMmMifQ=="/>
  </w:docVars>
  <w:rsids>
    <w:rsidRoot w:val="00000000"/>
    <w:rsid w:val="0405158B"/>
    <w:rsid w:val="05AA5056"/>
    <w:rsid w:val="05C076C3"/>
    <w:rsid w:val="06A37C10"/>
    <w:rsid w:val="07B51A4D"/>
    <w:rsid w:val="0AB35491"/>
    <w:rsid w:val="0BCB7038"/>
    <w:rsid w:val="0C165A64"/>
    <w:rsid w:val="0C397EA8"/>
    <w:rsid w:val="0C41093E"/>
    <w:rsid w:val="0E0C0292"/>
    <w:rsid w:val="10F92232"/>
    <w:rsid w:val="12650BCF"/>
    <w:rsid w:val="150444A9"/>
    <w:rsid w:val="156578DF"/>
    <w:rsid w:val="15871A96"/>
    <w:rsid w:val="15AA4F7B"/>
    <w:rsid w:val="15B43D5D"/>
    <w:rsid w:val="182854FD"/>
    <w:rsid w:val="194D0C0F"/>
    <w:rsid w:val="19883EF8"/>
    <w:rsid w:val="1B963B08"/>
    <w:rsid w:val="1D856B5C"/>
    <w:rsid w:val="1E6D7685"/>
    <w:rsid w:val="1F756F68"/>
    <w:rsid w:val="2044337B"/>
    <w:rsid w:val="206738E6"/>
    <w:rsid w:val="21914C99"/>
    <w:rsid w:val="21EA27B2"/>
    <w:rsid w:val="273F7D71"/>
    <w:rsid w:val="290D17B8"/>
    <w:rsid w:val="2AF752F9"/>
    <w:rsid w:val="2C954D1E"/>
    <w:rsid w:val="2F752F42"/>
    <w:rsid w:val="319544E8"/>
    <w:rsid w:val="343C3CBA"/>
    <w:rsid w:val="359833FE"/>
    <w:rsid w:val="364D63A5"/>
    <w:rsid w:val="365960DB"/>
    <w:rsid w:val="368944E5"/>
    <w:rsid w:val="37D666C2"/>
    <w:rsid w:val="39906272"/>
    <w:rsid w:val="3A487407"/>
    <w:rsid w:val="3BB51741"/>
    <w:rsid w:val="3E227BBE"/>
    <w:rsid w:val="40BB4B93"/>
    <w:rsid w:val="44520692"/>
    <w:rsid w:val="47DF0440"/>
    <w:rsid w:val="49B36405"/>
    <w:rsid w:val="4F2F3558"/>
    <w:rsid w:val="53BE1DE2"/>
    <w:rsid w:val="54AF46B8"/>
    <w:rsid w:val="551928D5"/>
    <w:rsid w:val="552D0B4D"/>
    <w:rsid w:val="554A212A"/>
    <w:rsid w:val="55880100"/>
    <w:rsid w:val="58EF5558"/>
    <w:rsid w:val="59C92A96"/>
    <w:rsid w:val="5C6120FF"/>
    <w:rsid w:val="5CA36E74"/>
    <w:rsid w:val="61031924"/>
    <w:rsid w:val="621323FE"/>
    <w:rsid w:val="63B650C5"/>
    <w:rsid w:val="65D6294C"/>
    <w:rsid w:val="67F00769"/>
    <w:rsid w:val="691B590A"/>
    <w:rsid w:val="695028E1"/>
    <w:rsid w:val="699D393A"/>
    <w:rsid w:val="6A536CA9"/>
    <w:rsid w:val="6A586695"/>
    <w:rsid w:val="6B3F3021"/>
    <w:rsid w:val="6B5125C3"/>
    <w:rsid w:val="6B5D6499"/>
    <w:rsid w:val="6C554EC8"/>
    <w:rsid w:val="6E501B17"/>
    <w:rsid w:val="6ECD1243"/>
    <w:rsid w:val="71D95DA2"/>
    <w:rsid w:val="72430486"/>
    <w:rsid w:val="757A2B8A"/>
    <w:rsid w:val="786303D4"/>
    <w:rsid w:val="7AC3041D"/>
    <w:rsid w:val="7B6A573F"/>
    <w:rsid w:val="7BFD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unhideWhenUsed/>
    <w:qFormat/>
    <w:uiPriority w:val="99"/>
    <w:pPr>
      <w:ind w:firstLine="420" w:firstLineChars="2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0"/>
    <w:rPr>
      <w:b/>
    </w:rPr>
  </w:style>
  <w:style w:type="character" w:customStyle="1" w:styleId="10">
    <w:name w:val="font61"/>
    <w:basedOn w:val="8"/>
    <w:autoRedefine/>
    <w:qFormat/>
    <w:uiPriority w:val="0"/>
    <w:rPr>
      <w:rFonts w:ascii="方正仿宋_GBK" w:hAnsi="方正仿宋_GBK" w:eastAsia="方正仿宋_GBK" w:cs="方正仿宋_GBK"/>
      <w:color w:val="auto"/>
      <w:sz w:val="24"/>
      <w:szCs w:val="24"/>
      <w:u w:val="none"/>
    </w:rPr>
  </w:style>
  <w:style w:type="character" w:customStyle="1" w:styleId="11">
    <w:name w:val="font51"/>
    <w:basedOn w:val="8"/>
    <w:autoRedefine/>
    <w:qFormat/>
    <w:uiPriority w:val="0"/>
    <w:rPr>
      <w:rFonts w:hint="default" w:ascii="Times New Roman" w:hAnsi="Times New Roman" w:cs="Times New Roman"/>
      <w:color w:val="auto"/>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1778</Words>
  <Characters>1816</Characters>
  <Lines>0</Lines>
  <Paragraphs>0</Paragraphs>
  <TotalTime>5</TotalTime>
  <ScaleCrop>false</ScaleCrop>
  <LinksUpToDate>false</LinksUpToDate>
  <CharactersWithSpaces>1816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2023-03-01T05:55:00Z</dcterms:created>
  <dc:creator>hp</dc:creator>
  <cp:lastModifiedBy>WPS_1662019506</cp:lastModifiedBy>
  <dcterms:modified xsi:type="dcterms:W3CDTF">2024-07-29T08:25:08Z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6751A59FAD9B48A89E16630D7B7BA0D6_13</vt:lpwstr>
  </property>
</Properties>
</file>