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0C" w:rsidRDefault="00340B0C">
      <w:pPr>
        <w:overflowPunct w:val="0"/>
        <w:autoSpaceDE w:val="0"/>
        <w:autoSpaceDN w:val="0"/>
        <w:adjustRightInd w:val="0"/>
        <w:jc w:val="center"/>
        <w:rPr>
          <w:rFonts w:ascii="方正小标宋_GBK" w:eastAsia="方正小标宋_GBK" w:hAnsi="华文中宋"/>
          <w:kern w:val="0"/>
          <w:sz w:val="36"/>
          <w:szCs w:val="36"/>
        </w:rPr>
      </w:pPr>
    </w:p>
    <w:p w:rsidR="00340B0C" w:rsidRDefault="004E215D">
      <w:pPr>
        <w:overflowPunct w:val="0"/>
        <w:autoSpaceDE w:val="0"/>
        <w:autoSpaceDN w:val="0"/>
        <w:adjustRightInd w:val="0"/>
        <w:jc w:val="center"/>
        <w:rPr>
          <w:rFonts w:ascii="方正小标宋_GBK" w:eastAsia="方正小标宋_GBK" w:hAnsi="华文中宋"/>
          <w:kern w:val="0"/>
          <w:sz w:val="36"/>
          <w:szCs w:val="36"/>
        </w:rPr>
      </w:pPr>
      <w:r>
        <w:rPr>
          <w:rFonts w:ascii="方正小标宋_GBK" w:eastAsia="方正小标宋_GBK" w:hAnsi="华文中宋" w:hint="eastAsia"/>
          <w:kern w:val="0"/>
          <w:sz w:val="36"/>
          <w:szCs w:val="36"/>
        </w:rPr>
        <w:t>梁溪区财政局</w:t>
      </w:r>
      <w:r w:rsidR="00C37705">
        <w:rPr>
          <w:rFonts w:ascii="方正小标宋_GBK" w:eastAsia="方正小标宋_GBK" w:hAnsi="华文中宋" w:hint="eastAsia"/>
          <w:kern w:val="0"/>
          <w:sz w:val="36"/>
          <w:szCs w:val="36"/>
        </w:rPr>
        <w:t>企业行政合</w:t>
      </w:r>
      <w:proofErr w:type="gramStart"/>
      <w:r w:rsidR="00C37705">
        <w:rPr>
          <w:rFonts w:ascii="方正小标宋_GBK" w:eastAsia="方正小标宋_GBK" w:hAnsi="华文中宋" w:hint="eastAsia"/>
          <w:kern w:val="0"/>
          <w:sz w:val="36"/>
          <w:szCs w:val="36"/>
        </w:rPr>
        <w:t>规</w:t>
      </w:r>
      <w:proofErr w:type="gramEnd"/>
      <w:r w:rsidR="00C37705">
        <w:rPr>
          <w:rFonts w:ascii="方正小标宋_GBK" w:eastAsia="方正小标宋_GBK" w:hAnsi="华文中宋" w:hint="eastAsia"/>
          <w:kern w:val="0"/>
          <w:sz w:val="36"/>
          <w:szCs w:val="36"/>
        </w:rPr>
        <w:t>指导清单（第一批）</w:t>
      </w:r>
    </w:p>
    <w:p w:rsidR="00340B0C" w:rsidRDefault="00340B0C">
      <w:pPr>
        <w:overflowPunct w:val="0"/>
        <w:autoSpaceDE w:val="0"/>
        <w:autoSpaceDN w:val="0"/>
        <w:adjustRightInd w:val="0"/>
        <w:jc w:val="center"/>
        <w:rPr>
          <w:rFonts w:ascii="方正小标宋_GBK" w:eastAsia="方正小标宋_GBK" w:hAnsi="华文中宋"/>
          <w:kern w:val="0"/>
          <w:sz w:val="36"/>
          <w:szCs w:val="36"/>
        </w:rPr>
      </w:pPr>
    </w:p>
    <w:tbl>
      <w:tblPr>
        <w:tblW w:w="14740" w:type="dxa"/>
        <w:jc w:val="center"/>
        <w:tblLook w:val="04A0" w:firstRow="1" w:lastRow="0" w:firstColumn="1" w:lastColumn="0" w:noHBand="0" w:noVBand="1"/>
      </w:tblPr>
      <w:tblGrid>
        <w:gridCol w:w="876"/>
        <w:gridCol w:w="1773"/>
        <w:gridCol w:w="2300"/>
        <w:gridCol w:w="4337"/>
        <w:gridCol w:w="920"/>
        <w:gridCol w:w="2957"/>
        <w:gridCol w:w="1577"/>
      </w:tblGrid>
      <w:tr w:rsidR="00340B0C">
        <w:trPr>
          <w:trHeight w:val="763"/>
          <w:tblHeader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序号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行政合</w:t>
            </w:r>
            <w:proofErr w:type="gramStart"/>
            <w:r>
              <w:rPr>
                <w:rFonts w:ascii="方正黑体_GBK" w:eastAsia="方正黑体_GBK" w:hAnsi="黑体" w:hint="eastAsia"/>
                <w:szCs w:val="21"/>
              </w:rPr>
              <w:t>规</w:t>
            </w:r>
            <w:proofErr w:type="gramEnd"/>
          </w:p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事项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常见违法行为表现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法律依据及违法责任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风险等级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合</w:t>
            </w:r>
            <w:proofErr w:type="gramStart"/>
            <w:r>
              <w:rPr>
                <w:rFonts w:ascii="方正黑体_GBK" w:eastAsia="方正黑体_GBK" w:hAnsi="黑体" w:hint="eastAsia"/>
                <w:szCs w:val="21"/>
              </w:rPr>
              <w:t>规</w:t>
            </w:r>
            <w:proofErr w:type="gramEnd"/>
            <w:r>
              <w:rPr>
                <w:rFonts w:ascii="方正黑体_GBK" w:eastAsia="方正黑体_GBK" w:hAnsi="黑体" w:hint="eastAsia"/>
                <w:szCs w:val="21"/>
              </w:rPr>
              <w:t>建议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jc w:val="center"/>
              <w:rPr>
                <w:rFonts w:ascii="方正黑体_GBK" w:eastAsia="方正黑体_GBK" w:hAnsi="黑体"/>
                <w:szCs w:val="21"/>
              </w:rPr>
            </w:pPr>
            <w:r>
              <w:rPr>
                <w:rFonts w:ascii="方正黑体_GBK" w:eastAsia="方正黑体_GBK" w:hAnsi="黑体" w:hint="eastAsia"/>
                <w:szCs w:val="21"/>
              </w:rPr>
              <w:t>指导部门（科室）</w:t>
            </w:r>
          </w:p>
        </w:tc>
      </w:tr>
      <w:tr w:rsidR="00340B0C">
        <w:trPr>
          <w:trHeight w:val="23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B0C" w:rsidRDefault="00C3770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供应商按采购文件要求提供投标文件，并保证所提供的全部资料的真实性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提供虚假材料谋取中标、成交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《中华人民共和国政府采购法》</w:t>
            </w:r>
          </w:p>
          <w:p w:rsidR="00340B0C" w:rsidRDefault="00C37705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第七十七条第一款第一项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提供虚假材料谋取中标、成交的，处以采购金额千分之五以上千</w:t>
            </w:r>
            <w:proofErr w:type="gramStart"/>
            <w:r>
              <w:rPr>
                <w:rFonts w:hAnsi="宋体" w:hint="eastAsia"/>
                <w:szCs w:val="21"/>
              </w:rPr>
              <w:t>分之十</w:t>
            </w:r>
            <w:proofErr w:type="gramEnd"/>
            <w:r>
              <w:rPr>
                <w:rFonts w:hAnsi="宋体" w:hint="eastAsia"/>
                <w:szCs w:val="21"/>
              </w:rPr>
              <w:t>以下的罚款，并列入不良行为记录名单，在一至三年内禁止参加政府采购活动，有违法所得的，并处没收违法所得，情节严重的，由工商行政管理机关吊销营业执照。构成犯罪的，依法追究刑事责任。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★★★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供应商参与政府采购活动时，对提交的相关材料应当严格把关，确保所提供材料的真实性。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0F1728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区</w:t>
            </w:r>
            <w:r w:rsidR="00C37705">
              <w:rPr>
                <w:rFonts w:hAnsi="宋体" w:hint="eastAsia"/>
                <w:szCs w:val="21"/>
              </w:rPr>
              <w:t>财政局</w:t>
            </w:r>
            <w:r>
              <w:rPr>
                <w:rFonts w:hAnsi="宋体" w:hint="eastAsia"/>
                <w:szCs w:val="21"/>
              </w:rPr>
              <w:t>行财科</w:t>
            </w:r>
            <w:r>
              <w:rPr>
                <w:rFonts w:hAnsi="宋体" w:hint="eastAsia"/>
                <w:szCs w:val="21"/>
              </w:rPr>
              <w:t>82833955</w:t>
            </w:r>
          </w:p>
        </w:tc>
      </w:tr>
      <w:tr w:rsidR="00340B0C">
        <w:trPr>
          <w:trHeight w:val="23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B0C" w:rsidRDefault="00C3770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供应商本着诚实信用、公平竞争原则参与政府采购竞争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恶意串通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《中华人民共和国政府采购法》</w:t>
            </w:r>
          </w:p>
          <w:p w:rsidR="00340B0C" w:rsidRDefault="00C37705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第七十七条第一款第三项</w:t>
            </w:r>
            <w:r>
              <w:rPr>
                <w:rFonts w:hAnsi="宋体" w:hint="eastAsia"/>
                <w:szCs w:val="21"/>
              </w:rPr>
              <w:t>、</w:t>
            </w:r>
            <w:r>
              <w:rPr>
                <w:rFonts w:hAnsi="宋体"/>
                <w:szCs w:val="21"/>
              </w:rPr>
              <w:t>《中华人民共和国</w:t>
            </w:r>
            <w:r w:rsidR="00E96BBF">
              <w:rPr>
                <w:rFonts w:hAnsi="宋体" w:hint="eastAsia"/>
                <w:szCs w:val="21"/>
              </w:rPr>
              <w:t>政府</w:t>
            </w:r>
            <w:r>
              <w:rPr>
                <w:rFonts w:hAnsi="宋体"/>
                <w:szCs w:val="21"/>
              </w:rPr>
              <w:t>采购法实施条例》第七十四条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与采购人、其他供应商或者采购代理机构恶意串通的，处以采购金额千分之五以上千</w:t>
            </w:r>
            <w:proofErr w:type="gramStart"/>
            <w:r>
              <w:rPr>
                <w:rFonts w:hAnsi="宋体"/>
                <w:szCs w:val="21"/>
              </w:rPr>
              <w:t>分之十</w:t>
            </w:r>
            <w:proofErr w:type="gramEnd"/>
            <w:r>
              <w:rPr>
                <w:rFonts w:hAnsi="宋体"/>
                <w:szCs w:val="21"/>
              </w:rPr>
              <w:t>以下的罚款，并列入不良行为记录名单，在一至三年内禁止参加政府采购活动，有违法所得的，并处没收违法所得，情节严重的，由工商行政管理机关吊销营业执照。构成犯罪的，依法追究刑事责任。</w:t>
            </w:r>
            <w:r>
              <w:rPr>
                <w:rFonts w:hAnsi="宋体"/>
                <w:szCs w:val="21"/>
              </w:rPr>
              <w:t xml:space="preserve">                                                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★★★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供应商应当本着诚实信用、公平竞争原则参与政府采购竞争，防止出现《中华人民共和国</w:t>
            </w:r>
            <w:r w:rsidR="00E96BBF">
              <w:rPr>
                <w:rFonts w:hint="eastAsia"/>
                <w:szCs w:val="21"/>
              </w:rPr>
              <w:t>政府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采购法实施条例》第七十四条有关情形。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0F1728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区财政局行财科</w:t>
            </w:r>
            <w:r>
              <w:rPr>
                <w:rFonts w:hAnsi="宋体" w:hint="eastAsia"/>
                <w:szCs w:val="21"/>
              </w:rPr>
              <w:t>82833955</w:t>
            </w:r>
          </w:p>
        </w:tc>
      </w:tr>
      <w:tr w:rsidR="00340B0C">
        <w:trPr>
          <w:trHeight w:val="2305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40B0C" w:rsidRDefault="00C3770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中标或者成交后按照采购文件确定的事项签订政府采购合同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中标或者成交后无正当理由拒不与采购人签订政府采购合同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《中华人民共和国</w:t>
            </w:r>
            <w:r w:rsidR="00E96BBF">
              <w:rPr>
                <w:rFonts w:hAnsi="宋体" w:hint="eastAsia"/>
                <w:szCs w:val="21"/>
              </w:rPr>
              <w:t>政府</w:t>
            </w:r>
            <w:r>
              <w:rPr>
                <w:rFonts w:hAnsi="宋体"/>
                <w:szCs w:val="21"/>
              </w:rPr>
              <w:t>采购法实施条例》</w:t>
            </w:r>
          </w:p>
          <w:p w:rsidR="00340B0C" w:rsidRDefault="00C37705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第七十二条第一款第二项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中标或者成交后无正当理由拒不与采购人签订政府采购合同，处以采购金额千分之五以上千</w:t>
            </w:r>
            <w:proofErr w:type="gramStart"/>
            <w:r>
              <w:rPr>
                <w:rFonts w:hAnsi="宋体"/>
                <w:szCs w:val="21"/>
              </w:rPr>
              <w:t>分之十</w:t>
            </w:r>
            <w:proofErr w:type="gramEnd"/>
            <w:r>
              <w:rPr>
                <w:rFonts w:hAnsi="宋体"/>
                <w:szCs w:val="21"/>
              </w:rPr>
              <w:t>以下的罚款，并列入不良行为记录名单，在一至三年内禁止参加政府采购活动，有违法所得的，并处没收违法所得，情节严重的，由工商行政管理机关吊销营业执照。构成犯罪的，依法追究刑事责任。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★★★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C37705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供应商在参与政府采购活动时，应当充分研究采购文件各项条款，评估参与成本和相关商业风险。中标或者成交后按照采购文件确定的事项签订政府采购合同。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B0C" w:rsidRDefault="000F1728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区财政局行财科</w:t>
            </w:r>
            <w:r>
              <w:rPr>
                <w:rFonts w:hAnsi="宋体" w:hint="eastAsia"/>
                <w:szCs w:val="21"/>
              </w:rPr>
              <w:t>82833955</w:t>
            </w:r>
          </w:p>
        </w:tc>
      </w:tr>
      <w:tr w:rsidR="001C702D">
        <w:trPr>
          <w:trHeight w:val="3359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702D" w:rsidRDefault="0074537D" w:rsidP="00DB7BF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代理记账机构在经营期间持续达到《代理记账管理办法》规定的资格条件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经营期间专职从业人员发生变动，少于</w:t>
            </w:r>
            <w:r>
              <w:rPr>
                <w:rFonts w:hAnsi="宋体" w:hint="eastAsia"/>
                <w:szCs w:val="21"/>
              </w:rPr>
              <w:t>3</w:t>
            </w:r>
            <w:r>
              <w:rPr>
                <w:rFonts w:hAnsi="宋体" w:hint="eastAsia"/>
                <w:szCs w:val="21"/>
              </w:rPr>
              <w:t>名；经营期间主管代理记账业务的负责人发生变动，不具有会计师以上专业技术职务资格或者从事会计工作少于三年。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1C702D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《代理记账管理办法》</w:t>
            </w:r>
          </w:p>
          <w:p w:rsidR="001C702D" w:rsidRDefault="001C702D" w:rsidP="001C702D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第二十条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代理记账机构在经营期间达不到本办法规定的资格条件的，审批机关发现后，应当责令其在</w:t>
            </w:r>
            <w:r>
              <w:rPr>
                <w:rFonts w:hAnsi="宋体" w:hint="eastAsia"/>
                <w:szCs w:val="21"/>
              </w:rPr>
              <w:t>60</w:t>
            </w:r>
            <w:r>
              <w:rPr>
                <w:rFonts w:hAnsi="宋体" w:hint="eastAsia"/>
                <w:szCs w:val="21"/>
              </w:rPr>
              <w:t>日内整改；逾期仍达不到规定条件的，由审批机关撤销其代理记账资格。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★★★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代理记账机构应当于每年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日之前，向审批机关报送下列材料：（一）代理记账机构基本情况表；（二）专职从业人员变动情况。代理记账机构主管代理记账业务的负责人发生变更，应当自</w:t>
            </w:r>
            <w:proofErr w:type="gramStart"/>
            <w:r>
              <w:rPr>
                <w:rFonts w:hint="eastAsia"/>
                <w:szCs w:val="21"/>
              </w:rPr>
              <w:t>作出</w:t>
            </w:r>
            <w:proofErr w:type="gramEnd"/>
            <w:r>
              <w:rPr>
                <w:rFonts w:hint="eastAsia"/>
                <w:szCs w:val="21"/>
              </w:rPr>
              <w:t>变更决定或变更之日起</w:t>
            </w: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日内依法向审批机关办理变更登记，并应当自变更登记完成之日起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日内通过企业信用信息公示系统向社会公示。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区财政局综合科</w:t>
            </w:r>
            <w:r>
              <w:rPr>
                <w:rFonts w:hAnsi="宋体" w:hint="eastAsia"/>
                <w:szCs w:val="21"/>
              </w:rPr>
              <w:t>83158825</w:t>
            </w:r>
          </w:p>
        </w:tc>
      </w:tr>
      <w:tr w:rsidR="001C702D">
        <w:trPr>
          <w:trHeight w:val="3848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702D" w:rsidRDefault="0074537D" w:rsidP="00DB7BF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代理记账机构从业人员在办理业务中遵守会计法律、法规和国家统一的会计制度的规定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代理记账机构从业人员在办理业务中违反会计法律、法规和国家统一的会计制度的规定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E96BBF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《代理记账管理办法》</w:t>
            </w:r>
          </w:p>
          <w:p w:rsidR="001C702D" w:rsidRDefault="001C702D" w:rsidP="00E96BBF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第二十四条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代理记账机构从业人员在办理业务中违反会计法律、法规和国家统一的会计制度的规定，造成委托人会计核算混乱、损害国家和委托人利益的，由县级以上人民政府财政部门依据《</w:t>
            </w:r>
            <w:hyperlink r:id="rId7" w:history="1">
              <w:r>
                <w:rPr>
                  <w:rFonts w:hAnsi="宋体" w:hint="eastAsia"/>
                  <w:szCs w:val="21"/>
                </w:rPr>
                <w:t>中华人民共和国会计法</w:t>
              </w:r>
            </w:hyperlink>
            <w:r>
              <w:rPr>
                <w:rFonts w:hAnsi="宋体" w:hint="eastAsia"/>
                <w:szCs w:val="21"/>
              </w:rPr>
              <w:t>》等有关法律、法规的规定处理。</w:t>
            </w:r>
          </w:p>
          <w:p w:rsidR="001C702D" w:rsidRDefault="001C702D" w:rsidP="00E96BBF">
            <w:pPr>
              <w:adjustRightInd w:val="0"/>
              <w:spacing w:line="266" w:lineRule="exact"/>
              <w:ind w:firstLineChars="200" w:firstLine="394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代理记账机构有前款行为的，县级以上人民政府财政部门应当责令其限期改正，并给予警告；有违法所得的，可以处违法所得</w:t>
            </w:r>
            <w:r>
              <w:rPr>
                <w:rFonts w:hAnsi="宋体" w:hint="eastAsia"/>
                <w:szCs w:val="21"/>
              </w:rPr>
              <w:t>3</w:t>
            </w:r>
            <w:r>
              <w:rPr>
                <w:rFonts w:hAnsi="宋体" w:hint="eastAsia"/>
                <w:szCs w:val="21"/>
              </w:rPr>
              <w:t>倍以下罚款，但最高不得超过</w:t>
            </w:r>
            <w:r>
              <w:rPr>
                <w:rFonts w:hAnsi="宋体" w:hint="eastAsia"/>
                <w:szCs w:val="21"/>
              </w:rPr>
              <w:t>3</w:t>
            </w:r>
            <w:r>
              <w:rPr>
                <w:rFonts w:hAnsi="宋体" w:hint="eastAsia"/>
                <w:szCs w:val="21"/>
              </w:rPr>
              <w:t>万元；没有违法所得的，可以处</w:t>
            </w: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万元以下罚款。</w:t>
            </w:r>
            <w:r>
              <w:rPr>
                <w:rFonts w:hAnsi="宋体"/>
                <w:szCs w:val="21"/>
              </w:rPr>
              <w:t xml:space="preserve">                                                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★★★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代理记账机构对从业人员应加强管理监督，防止出现《代理记账管理办法》第二十四条有关情形。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02D" w:rsidRDefault="001C702D" w:rsidP="00DB7BF7">
            <w:pPr>
              <w:spacing w:line="28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区财政局综合科</w:t>
            </w:r>
            <w:r>
              <w:rPr>
                <w:rFonts w:hAnsi="宋体" w:hint="eastAsia"/>
                <w:szCs w:val="21"/>
              </w:rPr>
              <w:t>83158825</w:t>
            </w:r>
          </w:p>
        </w:tc>
      </w:tr>
    </w:tbl>
    <w:p w:rsidR="00340B0C" w:rsidRDefault="00C37705">
      <w:pPr>
        <w:widowControl/>
        <w:spacing w:line="300" w:lineRule="exact"/>
        <w:rPr>
          <w:rFonts w:eastAsia="方正楷体_GBK"/>
          <w:szCs w:val="21"/>
        </w:rPr>
      </w:pPr>
      <w:r>
        <w:rPr>
          <w:rFonts w:eastAsia="方正楷体_GBK"/>
          <w:szCs w:val="21"/>
        </w:rPr>
        <w:t>备注：风险等级</w:t>
      </w:r>
      <w:r>
        <w:rPr>
          <w:rFonts w:eastAsia="方正楷体_GBK" w:hint="eastAsia"/>
          <w:szCs w:val="21"/>
        </w:rPr>
        <w:t>，</w:t>
      </w:r>
      <w:r>
        <w:rPr>
          <w:rFonts w:eastAsia="方正楷体_GBK"/>
          <w:szCs w:val="21"/>
        </w:rPr>
        <w:t>发生频率较高的为</w:t>
      </w:r>
      <w:r>
        <w:rPr>
          <w:rFonts w:eastAsia="方正楷体_GBK"/>
          <w:szCs w:val="21"/>
        </w:rPr>
        <w:t>★★★</w:t>
      </w:r>
      <w:r>
        <w:rPr>
          <w:rFonts w:eastAsia="方正楷体_GBK"/>
          <w:szCs w:val="21"/>
        </w:rPr>
        <w:t>，发生频率一般的为</w:t>
      </w:r>
      <w:r>
        <w:rPr>
          <w:rFonts w:eastAsia="方正楷体_GBK"/>
          <w:szCs w:val="21"/>
        </w:rPr>
        <w:t>★★</w:t>
      </w:r>
      <w:r>
        <w:rPr>
          <w:rFonts w:eastAsia="方正楷体_GBK"/>
          <w:szCs w:val="21"/>
        </w:rPr>
        <w:t>，发生频率较少的为</w:t>
      </w:r>
      <w:r>
        <w:rPr>
          <w:rFonts w:eastAsia="方正楷体_GBK"/>
          <w:szCs w:val="21"/>
        </w:rPr>
        <w:t>★</w:t>
      </w:r>
      <w:r>
        <w:rPr>
          <w:rFonts w:eastAsia="方正楷体_GBK"/>
          <w:szCs w:val="21"/>
        </w:rPr>
        <w:t>。</w:t>
      </w:r>
    </w:p>
    <w:p w:rsidR="00340B0C" w:rsidRDefault="00340B0C">
      <w:pPr>
        <w:pStyle w:val="a0"/>
      </w:pPr>
    </w:p>
    <w:p w:rsidR="00340B0C" w:rsidRDefault="00340B0C">
      <w:pPr>
        <w:pStyle w:val="a0"/>
      </w:pPr>
    </w:p>
    <w:sectPr w:rsidR="00340B0C">
      <w:footerReference w:type="even" r:id="rId8"/>
      <w:footerReference w:type="default" r:id="rId9"/>
      <w:pgSz w:w="16838" w:h="11906" w:orient="landscape"/>
      <w:pgMar w:top="1134" w:right="1134" w:bottom="1134" w:left="1134" w:header="851" w:footer="992" w:gutter="0"/>
      <w:cols w:space="720"/>
      <w:docGrid w:type="linesAndChars" w:linePitch="292" w:charSpace="-26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CF" w:rsidRDefault="00FD66CF">
      <w:r>
        <w:separator/>
      </w:r>
    </w:p>
  </w:endnote>
  <w:endnote w:type="continuationSeparator" w:id="0">
    <w:p w:rsidR="00FD66CF" w:rsidRDefault="00FD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0C" w:rsidRDefault="00C37705">
    <w:pPr>
      <w:pStyle w:val="a4"/>
      <w:ind w:leftChars="100" w:left="210"/>
      <w:rPr>
        <w:rFonts w:ascii="方正仿宋_GBK" w:eastAsia="方正仿宋_GBK"/>
        <w:sz w:val="28"/>
        <w:szCs w:val="28"/>
      </w:rPr>
    </w:pPr>
    <w:r>
      <w:rPr>
        <w:rFonts w:ascii="方正仿宋_GBK" w:eastAsia="方正仿宋_GBK" w:hint="eastAsia"/>
        <w:sz w:val="28"/>
        <w:szCs w:val="28"/>
      </w:rPr>
      <w:t>—</w:t>
    </w:r>
    <w:r>
      <w:rPr>
        <w:rFonts w:ascii="方正仿宋_GBK" w:eastAsia="方正仿宋_GBK" w:hAnsi="宋体" w:hint="eastAsia"/>
        <w:sz w:val="28"/>
        <w:szCs w:val="28"/>
      </w:rPr>
      <w:t xml:space="preserve"> </w:t>
    </w:r>
    <w:r>
      <w:rPr>
        <w:rFonts w:ascii="宋体" w:eastAsia="宋体" w:hAnsi="宋体" w:hint="eastAsia"/>
        <w:sz w:val="28"/>
        <w:szCs w:val="28"/>
      </w:rPr>
      <w:fldChar w:fldCharType="begin"/>
    </w:r>
    <w:r>
      <w:rPr>
        <w:rFonts w:ascii="宋体" w:eastAsia="宋体" w:hAnsi="宋体" w:hint="eastAsia"/>
        <w:sz w:val="28"/>
        <w:szCs w:val="28"/>
      </w:rPr>
      <w:instrText xml:space="preserve"> PAGE   \* MERGEFORMAT </w:instrText>
    </w:r>
    <w:r>
      <w:rPr>
        <w:rFonts w:ascii="宋体" w:eastAsia="宋体" w:hAnsi="宋体" w:hint="eastAsia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12</w:t>
    </w:r>
    <w:r>
      <w:rPr>
        <w:rFonts w:ascii="宋体" w:eastAsia="宋体" w:hAnsi="宋体" w:hint="eastAsia"/>
        <w:sz w:val="28"/>
        <w:szCs w:val="28"/>
      </w:rPr>
      <w:fldChar w:fldCharType="end"/>
    </w:r>
    <w:r>
      <w:rPr>
        <w:rFonts w:ascii="方正仿宋_GBK" w:eastAsia="方正仿宋_GBK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0C" w:rsidRDefault="00C37705">
    <w:pPr>
      <w:pStyle w:val="a4"/>
      <w:ind w:rightChars="100" w:right="210"/>
      <w:jc w:val="center"/>
      <w:rPr>
        <w:rFonts w:ascii="方正仿宋_GBK" w:eastAsia="方正仿宋_GBK"/>
        <w:sz w:val="21"/>
        <w:szCs w:val="21"/>
      </w:rPr>
    </w:pPr>
    <w:r>
      <w:rPr>
        <w:rStyle w:val="a6"/>
        <w:rFonts w:ascii="方正仿宋_GBK" w:eastAsia="方正仿宋_GBK" w:hint="eastAsia"/>
        <w:sz w:val="21"/>
        <w:szCs w:val="21"/>
      </w:rPr>
      <w:t>—</w:t>
    </w:r>
    <w:r>
      <w:rPr>
        <w:rStyle w:val="a6"/>
        <w:rFonts w:ascii="方正仿宋_GBK" w:eastAsia="方正仿宋_GBK" w:hAnsi="宋体" w:hint="eastAsia"/>
        <w:sz w:val="21"/>
        <w:szCs w:val="21"/>
      </w:rPr>
      <w:t xml:space="preserve"> </w:t>
    </w:r>
    <w:r>
      <w:rPr>
        <w:rFonts w:ascii="Times New Roman" w:eastAsia="宋体"/>
        <w:sz w:val="21"/>
        <w:szCs w:val="21"/>
      </w:rPr>
      <w:fldChar w:fldCharType="begin"/>
    </w:r>
    <w:r>
      <w:rPr>
        <w:rFonts w:ascii="Times New Roman" w:eastAsia="宋体"/>
        <w:sz w:val="21"/>
        <w:szCs w:val="21"/>
      </w:rPr>
      <w:instrText xml:space="preserve"> PAGE   \* MERGEFORMAT </w:instrText>
    </w:r>
    <w:r>
      <w:rPr>
        <w:rFonts w:ascii="Times New Roman" w:eastAsia="宋体"/>
        <w:sz w:val="21"/>
        <w:szCs w:val="21"/>
      </w:rPr>
      <w:fldChar w:fldCharType="separate"/>
    </w:r>
    <w:r w:rsidR="00E96BBF" w:rsidRPr="00E96BBF">
      <w:rPr>
        <w:rFonts w:ascii="Times New Roman" w:eastAsia="宋体"/>
        <w:noProof/>
        <w:sz w:val="21"/>
        <w:szCs w:val="21"/>
        <w:lang w:val="zh-CN"/>
      </w:rPr>
      <w:t>1</w:t>
    </w:r>
    <w:r>
      <w:rPr>
        <w:rFonts w:ascii="Times New Roman" w:eastAsia="宋体"/>
        <w:sz w:val="21"/>
        <w:szCs w:val="21"/>
      </w:rPr>
      <w:fldChar w:fldCharType="end"/>
    </w:r>
    <w:r>
      <w:rPr>
        <w:rFonts w:ascii="方正仿宋_GBK" w:eastAsia="方正仿宋_GBK" w:hint="eastAsia"/>
        <w:sz w:val="21"/>
        <w:szCs w:val="21"/>
      </w:rPr>
      <w:t xml:space="preserve"> </w:t>
    </w:r>
    <w:r>
      <w:rPr>
        <w:rFonts w:ascii="方正仿宋_GBK" w:eastAsia="方正仿宋_GBK" w:hint="eastAsia"/>
        <w:sz w:val="21"/>
        <w:szCs w:val="21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CF" w:rsidRDefault="00FD66CF">
      <w:r>
        <w:separator/>
      </w:r>
    </w:p>
  </w:footnote>
  <w:footnote w:type="continuationSeparator" w:id="0">
    <w:p w:rsidR="00FD66CF" w:rsidRDefault="00FD6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ZTA3YzU3ZWY2OGU4OTVhYjk3NzIwMTFjYTFiMTkifQ=="/>
  </w:docVars>
  <w:rsids>
    <w:rsidRoot w:val="57D10DFF"/>
    <w:rsid w:val="000F1728"/>
    <w:rsid w:val="00150CC7"/>
    <w:rsid w:val="001C702D"/>
    <w:rsid w:val="00340B0C"/>
    <w:rsid w:val="004E215D"/>
    <w:rsid w:val="004F7285"/>
    <w:rsid w:val="00512CB4"/>
    <w:rsid w:val="0059713C"/>
    <w:rsid w:val="005D7952"/>
    <w:rsid w:val="006A68CD"/>
    <w:rsid w:val="0074537D"/>
    <w:rsid w:val="007537D2"/>
    <w:rsid w:val="00763325"/>
    <w:rsid w:val="007E2EBB"/>
    <w:rsid w:val="008F6A03"/>
    <w:rsid w:val="00A205C6"/>
    <w:rsid w:val="00AF5A72"/>
    <w:rsid w:val="00BE42E8"/>
    <w:rsid w:val="00BF4171"/>
    <w:rsid w:val="00C21697"/>
    <w:rsid w:val="00C37705"/>
    <w:rsid w:val="00CE6391"/>
    <w:rsid w:val="00D25BCD"/>
    <w:rsid w:val="00DF371A"/>
    <w:rsid w:val="00E27AC0"/>
    <w:rsid w:val="00E96BBF"/>
    <w:rsid w:val="00EB2E98"/>
    <w:rsid w:val="00EC465C"/>
    <w:rsid w:val="00F524CD"/>
    <w:rsid w:val="00FD66CF"/>
    <w:rsid w:val="00FF2889"/>
    <w:rsid w:val="014F03EF"/>
    <w:rsid w:val="01E95C11"/>
    <w:rsid w:val="055C3A06"/>
    <w:rsid w:val="0AB15C77"/>
    <w:rsid w:val="11160F29"/>
    <w:rsid w:val="123C49C0"/>
    <w:rsid w:val="13203999"/>
    <w:rsid w:val="18E603BD"/>
    <w:rsid w:val="19C86B39"/>
    <w:rsid w:val="1BBC447B"/>
    <w:rsid w:val="25406175"/>
    <w:rsid w:val="286914E7"/>
    <w:rsid w:val="2E80759F"/>
    <w:rsid w:val="2EA65243"/>
    <w:rsid w:val="2ED50208"/>
    <w:rsid w:val="32B46721"/>
    <w:rsid w:val="361B02C4"/>
    <w:rsid w:val="3C1057FB"/>
    <w:rsid w:val="4BEB5269"/>
    <w:rsid w:val="4D98462A"/>
    <w:rsid w:val="4ED355A0"/>
    <w:rsid w:val="50117696"/>
    <w:rsid w:val="51204589"/>
    <w:rsid w:val="53923E52"/>
    <w:rsid w:val="55A7399A"/>
    <w:rsid w:val="57D10DFF"/>
    <w:rsid w:val="5B1F58B2"/>
    <w:rsid w:val="5E707B63"/>
    <w:rsid w:val="60FB0B6F"/>
    <w:rsid w:val="625A63D3"/>
    <w:rsid w:val="62612C54"/>
    <w:rsid w:val="66630D48"/>
    <w:rsid w:val="714D0F73"/>
    <w:rsid w:val="73A9061E"/>
    <w:rsid w:val="76F0487A"/>
    <w:rsid w:val="79257D62"/>
    <w:rsid w:val="7A432F13"/>
    <w:rsid w:val="7CE9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unhideWhenUsed/>
    <w:qFormat/>
    <w:pPr>
      <w:adjustRightInd w:val="0"/>
      <w:snapToGrid w:val="0"/>
      <w:spacing w:after="120" w:line="360" w:lineRule="auto"/>
    </w:pPr>
    <w:rPr>
      <w:rFonts w:eastAsia="仿宋"/>
      <w:sz w:val="32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qFormat/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waselectableregion">
    <w:name w:val="__wa_selectable_region"/>
    <w:basedOn w:val="a1"/>
    <w:qFormat/>
  </w:style>
  <w:style w:type="paragraph" w:customStyle="1" w:styleId="a7">
    <w:name w:val="其他"/>
    <w:basedOn w:val="a"/>
    <w:qFormat/>
    <w:pPr>
      <w:spacing w:line="235" w:lineRule="exact"/>
      <w:jc w:val="left"/>
    </w:pPr>
    <w:rPr>
      <w:rFonts w:ascii="宋体" w:hAnsi="宋体"/>
      <w:kern w:val="0"/>
      <w:sz w:val="15"/>
      <w:szCs w:val="15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unhideWhenUsed/>
    <w:qFormat/>
    <w:pPr>
      <w:adjustRightInd w:val="0"/>
      <w:snapToGrid w:val="0"/>
      <w:spacing w:after="120" w:line="360" w:lineRule="auto"/>
    </w:pPr>
    <w:rPr>
      <w:rFonts w:eastAsia="仿宋"/>
      <w:sz w:val="32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qFormat/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waselectableregion">
    <w:name w:val="__wa_selectable_region"/>
    <w:basedOn w:val="a1"/>
    <w:qFormat/>
  </w:style>
  <w:style w:type="paragraph" w:customStyle="1" w:styleId="a7">
    <w:name w:val="其他"/>
    <w:basedOn w:val="a"/>
    <w:qFormat/>
    <w:pPr>
      <w:spacing w:line="235" w:lineRule="exact"/>
      <w:jc w:val="left"/>
    </w:pPr>
    <w:rPr>
      <w:rFonts w:ascii="宋体" w:hAnsi="宋体"/>
      <w:kern w:val="0"/>
      <w:sz w:val="15"/>
      <w:szCs w:val="15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hui5.cn/article/48/11651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279</Words>
  <Characters>1596</Characters>
  <Application>Microsoft Office Word</Application>
  <DocSecurity>0</DocSecurity>
  <Lines>13</Lines>
  <Paragraphs>3</Paragraphs>
  <ScaleCrop>false</ScaleCrop>
  <Company>QBPC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User</cp:lastModifiedBy>
  <cp:revision>9</cp:revision>
  <dcterms:created xsi:type="dcterms:W3CDTF">2023-11-01T06:23:00Z</dcterms:created>
  <dcterms:modified xsi:type="dcterms:W3CDTF">2024-04-03T06:40:00Z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95C0103AFBCE4BDA93F5DD440FFDB2A0_13</vt:lpwstr>
  </property>
</Properties>
</file>