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utoSpaceDE w:val="0"/>
        <w:autoSpaceDN w:val="0"/>
        <w:adjustRightInd w:val="0"/>
        <w:jc w:val="center"/>
        <w:rPr>
          <w:rFonts w:ascii="方正小标宋_GBK" w:hAnsi="华文中宋" w:eastAsia="方正小标宋_GBK"/>
          <w:kern w:val="0"/>
          <w:sz w:val="36"/>
          <w:szCs w:val="36"/>
        </w:rPr>
      </w:pPr>
      <w:r>
        <w:rPr>
          <w:rFonts w:hint="eastAsia" w:ascii="方正小标宋_GBK" w:hAnsi="华文中宋" w:eastAsia="方正小标宋_GBK"/>
          <w:kern w:val="0"/>
          <w:sz w:val="36"/>
          <w:szCs w:val="36"/>
        </w:rPr>
        <w:t>梁溪区企业行政合规指导清单（第一批）</w:t>
      </w:r>
    </w:p>
    <w:p>
      <w:pPr>
        <w:overflowPunct w:val="0"/>
        <w:autoSpaceDE w:val="0"/>
        <w:autoSpaceDN w:val="0"/>
        <w:adjustRightInd w:val="0"/>
        <w:jc w:val="center"/>
        <w:rPr>
          <w:rFonts w:ascii="方正小标宋_GBK" w:hAnsi="华文中宋" w:eastAsia="方正小标宋_GBK"/>
          <w:kern w:val="0"/>
          <w:sz w:val="36"/>
          <w:szCs w:val="36"/>
        </w:rPr>
      </w:pPr>
      <w:r>
        <w:rPr>
          <w:rFonts w:hint="eastAsia" w:ascii="方正小标宋_GBK" w:hAnsi="华文中宋" w:eastAsia="方正小标宋_GBK"/>
          <w:kern w:val="0"/>
          <w:sz w:val="36"/>
          <w:szCs w:val="36"/>
        </w:rPr>
        <w:t>（区财政局）</w:t>
      </w:r>
    </w:p>
    <w:tbl>
      <w:tblPr>
        <w:tblStyle w:val="6"/>
        <w:tblW w:w="14740" w:type="dxa"/>
        <w:jc w:val="center"/>
        <w:tblLayout w:type="autofit"/>
        <w:tblCellMar>
          <w:top w:w="0" w:type="dxa"/>
          <w:left w:w="108" w:type="dxa"/>
          <w:bottom w:w="0" w:type="dxa"/>
          <w:right w:w="108" w:type="dxa"/>
        </w:tblCellMar>
      </w:tblPr>
      <w:tblGrid>
        <w:gridCol w:w="876"/>
        <w:gridCol w:w="1773"/>
        <w:gridCol w:w="2300"/>
        <w:gridCol w:w="4337"/>
        <w:gridCol w:w="920"/>
        <w:gridCol w:w="2957"/>
        <w:gridCol w:w="1577"/>
      </w:tblGrid>
      <w:tr>
        <w:tblPrEx>
          <w:tblCellMar>
            <w:top w:w="0" w:type="dxa"/>
            <w:left w:w="108" w:type="dxa"/>
            <w:bottom w:w="0" w:type="dxa"/>
            <w:right w:w="108" w:type="dxa"/>
          </w:tblCellMar>
        </w:tblPrEx>
        <w:trPr>
          <w:trHeight w:val="763" w:hRule="atLeast"/>
          <w:tblHeader/>
          <w:jc w:val="center"/>
        </w:trPr>
        <w:tc>
          <w:tcPr>
            <w:tcW w:w="876"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序号</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行政合规</w:t>
            </w:r>
          </w:p>
          <w:p>
            <w:pPr>
              <w:spacing w:line="280" w:lineRule="exact"/>
              <w:jc w:val="center"/>
              <w:rPr>
                <w:rFonts w:ascii="方正黑体_GBK" w:hAnsi="黑体" w:eastAsia="方正黑体_GBK"/>
                <w:szCs w:val="21"/>
              </w:rPr>
            </w:pPr>
            <w:r>
              <w:rPr>
                <w:rFonts w:hint="eastAsia" w:ascii="方正黑体_GBK" w:hAnsi="黑体" w:eastAsia="方正黑体_GBK"/>
                <w:szCs w:val="21"/>
              </w:rPr>
              <w:t>事项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常见违法行为表现</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法律依据及违法责任</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风险等级</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合规建议</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指导部门（科室）</w:t>
            </w:r>
          </w:p>
        </w:tc>
      </w:tr>
      <w:tr>
        <w:tblPrEx>
          <w:tblCellMar>
            <w:top w:w="0" w:type="dxa"/>
            <w:left w:w="108" w:type="dxa"/>
            <w:bottom w:w="0" w:type="dxa"/>
            <w:right w:w="108" w:type="dxa"/>
          </w:tblCellMar>
        </w:tblPrEx>
        <w:trPr>
          <w:trHeight w:val="23"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rPr>
                <w:rFonts w:hAnsi="宋体"/>
                <w:szCs w:val="21"/>
              </w:rPr>
            </w:pPr>
            <w:r>
              <w:rPr>
                <w:rFonts w:hint="eastAsia" w:hAnsi="宋体"/>
                <w:szCs w:val="21"/>
              </w:rPr>
              <w:t>供应商按采购文件要求提供投标文件，并保证所提供的全部资料的真实性</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rPr>
                <w:rFonts w:hAnsi="宋体"/>
                <w:szCs w:val="21"/>
              </w:rPr>
            </w:pPr>
            <w:r>
              <w:rPr>
                <w:rFonts w:hint="eastAsia" w:hAnsi="宋体"/>
                <w:szCs w:val="21"/>
              </w:rPr>
              <w:t>提供虚假材料谋取中标、成交</w:t>
            </w:r>
          </w:p>
        </w:tc>
        <w:tc>
          <w:tcPr>
            <w:tcW w:w="4337" w:type="dxa"/>
            <w:tcBorders>
              <w:top w:val="single" w:color="000000" w:sz="4" w:space="0"/>
              <w:left w:val="single" w:color="000000" w:sz="4" w:space="0"/>
              <w:bottom w:val="single" w:color="000000" w:sz="4" w:space="0"/>
              <w:right w:val="single" w:color="000000" w:sz="4" w:space="0"/>
            </w:tcBorders>
            <w:vAlign w:val="center"/>
          </w:tcPr>
          <w:p>
            <w:pPr>
              <w:adjustRightInd w:val="0"/>
              <w:spacing w:line="266" w:lineRule="exact"/>
              <w:ind w:firstLine="420" w:firstLineChars="200"/>
              <w:rPr>
                <w:rFonts w:hAnsi="宋体"/>
                <w:szCs w:val="21"/>
              </w:rPr>
            </w:pPr>
            <w:r>
              <w:rPr>
                <w:rFonts w:hint="eastAsia" w:hAnsi="宋体"/>
                <w:szCs w:val="21"/>
              </w:rPr>
              <w:t>《中华人民共和国政府采购法》</w:t>
            </w:r>
          </w:p>
          <w:p>
            <w:pPr>
              <w:adjustRightInd w:val="0"/>
              <w:spacing w:line="266" w:lineRule="exact"/>
              <w:ind w:firstLine="420" w:firstLineChars="200"/>
              <w:rPr>
                <w:rFonts w:hAnsi="宋体"/>
                <w:szCs w:val="21"/>
              </w:rPr>
            </w:pPr>
            <w:r>
              <w:rPr>
                <w:rFonts w:hint="eastAsia" w:hAnsi="宋体"/>
                <w:szCs w:val="21"/>
              </w:rPr>
              <w:t>第七十七条第一款第一项  提供虚假材料谋取中标、成交的，处以采购金额千分之五以上千分之十以下的罚款，并列入不良行为记录名单，在一至三年内禁止参加政府采购活动，有违法所得的，并处没收违法所得，情节严重的，由工商行政管理机关吊销营业执照。构成犯罪的，依法追究刑事责任。</w:t>
            </w:r>
          </w:p>
        </w:tc>
        <w:tc>
          <w:tcPr>
            <w:tcW w:w="920"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宋体" w:hAnsi="宋体" w:cs="宋体"/>
                <w:sz w:val="18"/>
                <w:szCs w:val="18"/>
              </w:rPr>
            </w:pPr>
            <w:r>
              <w:rPr>
                <w:rFonts w:hint="eastAsia" w:ascii="宋体" w:hAnsi="宋体" w:cs="宋体"/>
                <w:kern w:val="0"/>
                <w:sz w:val="18"/>
                <w:szCs w:val="18"/>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rPr>
                <w:szCs w:val="21"/>
              </w:rPr>
            </w:pPr>
            <w:r>
              <w:rPr>
                <w:rFonts w:hint="eastAsia"/>
                <w:szCs w:val="21"/>
              </w:rPr>
              <w:t>供应商参与政府采购活动时，对提交的相关材料应当严格把关，确保所提供材料的真实性。</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rPr>
                <w:rFonts w:hAnsi="宋体"/>
                <w:szCs w:val="21"/>
              </w:rPr>
            </w:pPr>
            <w:r>
              <w:rPr>
                <w:rFonts w:hint="eastAsia" w:hAnsi="宋体"/>
                <w:szCs w:val="21"/>
              </w:rPr>
              <w:t>区财政局行财科82833955</w:t>
            </w:r>
          </w:p>
        </w:tc>
      </w:tr>
      <w:tr>
        <w:tblPrEx>
          <w:tblCellMar>
            <w:top w:w="0" w:type="dxa"/>
            <w:left w:w="108" w:type="dxa"/>
            <w:bottom w:w="0" w:type="dxa"/>
            <w:right w:w="108" w:type="dxa"/>
          </w:tblCellMar>
        </w:tblPrEx>
        <w:trPr>
          <w:trHeight w:val="23"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rPr>
                <w:rFonts w:hAnsi="宋体"/>
                <w:szCs w:val="21"/>
              </w:rPr>
            </w:pPr>
            <w:r>
              <w:rPr>
                <w:rFonts w:hint="eastAsia" w:hAnsi="宋体"/>
                <w:szCs w:val="21"/>
              </w:rPr>
              <w:t>供应商本着诚实信用、公平竞争原则参与政府采购竞争</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rPr>
                <w:rFonts w:hAnsi="宋体"/>
                <w:szCs w:val="21"/>
              </w:rPr>
            </w:pPr>
            <w:r>
              <w:rPr>
                <w:rFonts w:hint="eastAsia" w:hAnsi="宋体"/>
                <w:szCs w:val="21"/>
              </w:rPr>
              <w:t>恶意串通</w:t>
            </w:r>
          </w:p>
        </w:tc>
        <w:tc>
          <w:tcPr>
            <w:tcW w:w="4337" w:type="dxa"/>
            <w:tcBorders>
              <w:top w:val="single" w:color="000000" w:sz="4" w:space="0"/>
              <w:left w:val="single" w:color="000000" w:sz="4" w:space="0"/>
              <w:bottom w:val="single" w:color="000000" w:sz="4" w:space="0"/>
              <w:right w:val="single" w:color="000000" w:sz="4" w:space="0"/>
            </w:tcBorders>
            <w:vAlign w:val="center"/>
          </w:tcPr>
          <w:p>
            <w:pPr>
              <w:adjustRightInd w:val="0"/>
              <w:spacing w:line="266" w:lineRule="exact"/>
              <w:ind w:firstLine="420" w:firstLineChars="200"/>
              <w:rPr>
                <w:rFonts w:hAnsi="宋体"/>
                <w:szCs w:val="21"/>
              </w:rPr>
            </w:pPr>
            <w:r>
              <w:rPr>
                <w:rFonts w:hAnsi="宋体"/>
                <w:szCs w:val="21"/>
              </w:rPr>
              <w:t>《中华人民共和国政府采购法》</w:t>
            </w:r>
          </w:p>
          <w:p>
            <w:pPr>
              <w:adjustRightInd w:val="0"/>
              <w:spacing w:line="266" w:lineRule="exact"/>
              <w:ind w:firstLine="420" w:firstLineChars="200"/>
              <w:rPr>
                <w:rFonts w:hAnsi="宋体"/>
                <w:szCs w:val="21"/>
              </w:rPr>
            </w:pPr>
            <w:r>
              <w:rPr>
                <w:rFonts w:hAnsi="宋体"/>
                <w:szCs w:val="21"/>
              </w:rPr>
              <w:t>第七十七条第一款第三项</w:t>
            </w:r>
            <w:r>
              <w:rPr>
                <w:rFonts w:hint="eastAsia" w:hAnsi="宋体"/>
                <w:szCs w:val="21"/>
              </w:rPr>
              <w:t>、</w:t>
            </w:r>
            <w:r>
              <w:rPr>
                <w:rFonts w:hAnsi="宋体"/>
                <w:szCs w:val="21"/>
              </w:rPr>
              <w:t>《</w:t>
            </w:r>
            <w:r>
              <w:rPr>
                <w:rFonts w:hint="eastAsia" w:hAnsi="宋体"/>
                <w:szCs w:val="21"/>
              </w:rPr>
              <w:t>中华人民共和国政府采购法</w:t>
            </w:r>
            <w:r>
              <w:rPr>
                <w:rFonts w:hAnsi="宋体"/>
                <w:szCs w:val="21"/>
              </w:rPr>
              <w:t>实施条例》第七十四条</w:t>
            </w:r>
            <w:r>
              <w:rPr>
                <w:rFonts w:hint="eastAsia" w:hAnsi="宋体"/>
                <w:szCs w:val="21"/>
              </w:rPr>
              <w:t xml:space="preserve">  </w:t>
            </w:r>
            <w:r>
              <w:rPr>
                <w:rFonts w:hAnsi="宋体"/>
                <w:szCs w:val="21"/>
              </w:rPr>
              <w:t xml:space="preserve">与采购人、其他供应商或者采购代理机构恶意串通的，处以采购金额千分之五以上千分之十以下的罚款，并列入不良行为记录名单，在一至三年内禁止参加政府采购活动，有违法所得的，并处没收违法所得，情节严重的，由工商行政管理机关吊销营业执照。构成犯罪的，依法追究刑事责任。                                                  </w:t>
            </w:r>
          </w:p>
        </w:tc>
        <w:tc>
          <w:tcPr>
            <w:tcW w:w="920"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宋体" w:hAnsi="宋体" w:cs="宋体"/>
                <w:sz w:val="18"/>
                <w:szCs w:val="18"/>
              </w:rPr>
            </w:pPr>
            <w:r>
              <w:rPr>
                <w:rFonts w:hint="eastAsia" w:ascii="宋体" w:hAnsi="宋体" w:cs="宋体"/>
                <w:kern w:val="0"/>
                <w:sz w:val="18"/>
                <w:szCs w:val="18"/>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rPr>
                <w:szCs w:val="21"/>
              </w:rPr>
            </w:pPr>
            <w:r>
              <w:rPr>
                <w:rFonts w:hint="eastAsia"/>
                <w:szCs w:val="21"/>
              </w:rPr>
              <w:t>供应商应当本着诚实信用、公平竞争原则参与政府采购竞争，防止出现《中华人民共和国政府采购法实施条例》第七十四条有关情形。</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rPr>
                <w:rFonts w:hAnsi="宋体"/>
                <w:szCs w:val="21"/>
              </w:rPr>
            </w:pPr>
            <w:r>
              <w:rPr>
                <w:rFonts w:hint="eastAsia" w:hAnsi="宋体"/>
                <w:szCs w:val="21"/>
              </w:rPr>
              <w:t>区财政局行财科82833955</w:t>
            </w:r>
          </w:p>
        </w:tc>
      </w:tr>
      <w:tr>
        <w:tblPrEx>
          <w:tblCellMar>
            <w:top w:w="0" w:type="dxa"/>
            <w:left w:w="108" w:type="dxa"/>
            <w:bottom w:w="0" w:type="dxa"/>
            <w:right w:w="108" w:type="dxa"/>
          </w:tblCellMar>
        </w:tblPrEx>
        <w:trPr>
          <w:trHeight w:val="2305"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3</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rPr>
                <w:rFonts w:hAnsi="宋体"/>
                <w:szCs w:val="21"/>
              </w:rPr>
            </w:pPr>
            <w:r>
              <w:rPr>
                <w:rFonts w:hint="eastAsia" w:hAnsi="宋体"/>
                <w:szCs w:val="21"/>
              </w:rPr>
              <w:t>中标或者成交后按照采购文件确定的事项签订政府采购合同</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rPr>
                <w:rFonts w:hAnsi="宋体"/>
                <w:szCs w:val="21"/>
              </w:rPr>
            </w:pPr>
            <w:r>
              <w:rPr>
                <w:rFonts w:hint="eastAsia" w:hAnsi="宋体"/>
                <w:szCs w:val="21"/>
              </w:rPr>
              <w:t>中标或者成交后无正当理由拒不与采购人签订政府采购合同</w:t>
            </w:r>
          </w:p>
        </w:tc>
        <w:tc>
          <w:tcPr>
            <w:tcW w:w="4337" w:type="dxa"/>
            <w:tcBorders>
              <w:top w:val="single" w:color="000000" w:sz="4" w:space="0"/>
              <w:left w:val="single" w:color="000000" w:sz="4" w:space="0"/>
              <w:bottom w:val="single" w:color="000000" w:sz="4" w:space="0"/>
              <w:right w:val="single" w:color="000000" w:sz="4" w:space="0"/>
            </w:tcBorders>
            <w:vAlign w:val="center"/>
          </w:tcPr>
          <w:p>
            <w:pPr>
              <w:adjustRightInd w:val="0"/>
              <w:spacing w:line="266" w:lineRule="exact"/>
              <w:ind w:firstLine="420" w:firstLineChars="200"/>
              <w:rPr>
                <w:rFonts w:hAnsi="宋体"/>
                <w:szCs w:val="21"/>
              </w:rPr>
            </w:pPr>
            <w:r>
              <w:rPr>
                <w:rFonts w:hAnsi="宋体"/>
                <w:szCs w:val="21"/>
              </w:rPr>
              <w:t>《中华人民共和国</w:t>
            </w:r>
            <w:r>
              <w:rPr>
                <w:rFonts w:hint="eastAsia" w:hAnsi="宋体"/>
                <w:szCs w:val="21"/>
                <w:lang w:eastAsia="zh-CN"/>
              </w:rPr>
              <w:t>政府</w:t>
            </w:r>
            <w:r>
              <w:rPr>
                <w:rFonts w:hAnsi="宋体"/>
                <w:szCs w:val="21"/>
              </w:rPr>
              <w:t>采购法实施条例》</w:t>
            </w:r>
          </w:p>
          <w:p>
            <w:pPr>
              <w:adjustRightInd w:val="0"/>
              <w:spacing w:line="266" w:lineRule="exact"/>
              <w:ind w:firstLine="420" w:firstLineChars="200"/>
              <w:rPr>
                <w:rFonts w:hAnsi="宋体"/>
                <w:szCs w:val="21"/>
              </w:rPr>
            </w:pPr>
            <w:r>
              <w:rPr>
                <w:rFonts w:hAnsi="宋体"/>
                <w:szCs w:val="21"/>
              </w:rPr>
              <w:t>第七十二条第一款第二项</w:t>
            </w:r>
            <w:r>
              <w:rPr>
                <w:rFonts w:hint="eastAsia" w:hAnsi="宋体"/>
                <w:szCs w:val="21"/>
              </w:rPr>
              <w:t xml:space="preserve">  </w:t>
            </w:r>
            <w:r>
              <w:rPr>
                <w:rFonts w:hAnsi="宋体"/>
                <w:szCs w:val="21"/>
              </w:rPr>
              <w:t>中标或者成交后无正当理由拒不与采购人签订政府采购合同，处以采购金额千分之五以上千分之十以下的罚款，并列入不良行为记录名单，在一至三年内禁止参加政府采购活动，有违法所得的，并处没收违法所得，情节严重的，由工商行政管理机关吊销营业执照。构成犯罪的，依法追究刑事责任。</w:t>
            </w:r>
          </w:p>
        </w:tc>
        <w:tc>
          <w:tcPr>
            <w:tcW w:w="920"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宋体" w:hAnsi="宋体" w:cs="宋体"/>
                <w:sz w:val="18"/>
                <w:szCs w:val="18"/>
              </w:rPr>
            </w:pPr>
            <w:r>
              <w:rPr>
                <w:rFonts w:hint="eastAsia" w:ascii="宋体" w:hAnsi="宋体" w:cs="宋体"/>
                <w:kern w:val="0"/>
                <w:sz w:val="18"/>
                <w:szCs w:val="18"/>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rPr>
                <w:szCs w:val="21"/>
              </w:rPr>
            </w:pPr>
            <w:r>
              <w:rPr>
                <w:rFonts w:hint="eastAsia"/>
                <w:szCs w:val="21"/>
              </w:rPr>
              <w:t>供应商在参与政府采购活动时，应当充分研究采购文件各项条款，评估参与成本和相关商业风险。中标或者成交后按照采购文件确定的事项签订政府采购合同。</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rPr>
                <w:rFonts w:hAnsi="宋体"/>
                <w:szCs w:val="21"/>
              </w:rPr>
            </w:pPr>
            <w:r>
              <w:rPr>
                <w:rFonts w:hint="eastAsia" w:hAnsi="宋体"/>
                <w:szCs w:val="21"/>
              </w:rPr>
              <w:t>区财政局行财科82833955</w:t>
            </w:r>
          </w:p>
        </w:tc>
      </w:tr>
      <w:tr>
        <w:tblPrEx>
          <w:tblCellMar>
            <w:top w:w="0" w:type="dxa"/>
            <w:left w:w="108" w:type="dxa"/>
            <w:bottom w:w="0" w:type="dxa"/>
            <w:right w:w="108" w:type="dxa"/>
          </w:tblCellMar>
        </w:tblPrEx>
        <w:trPr>
          <w:trHeight w:val="3359"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4</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rPr>
                <w:rFonts w:hAnsi="宋体"/>
                <w:szCs w:val="21"/>
              </w:rPr>
            </w:pPr>
            <w:r>
              <w:rPr>
                <w:rFonts w:hint="eastAsia" w:hAnsi="宋体"/>
                <w:szCs w:val="21"/>
              </w:rPr>
              <w:t>代理记账机构在经营期间持续达到《代理记账管理办法》规定的资格条件</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rPr>
                <w:rFonts w:hAnsi="宋体"/>
                <w:szCs w:val="21"/>
              </w:rPr>
            </w:pPr>
            <w:r>
              <w:rPr>
                <w:rFonts w:hint="eastAsia" w:hAnsi="宋体"/>
                <w:szCs w:val="21"/>
              </w:rPr>
              <w:t>经营期间专职从业人员发生变动，少于3名；经营期间主管代理记账业务的负责人发生变动，不具有会计师以上专业技术职务资格或者从事会计工作少于三年。</w:t>
            </w:r>
          </w:p>
        </w:tc>
        <w:tc>
          <w:tcPr>
            <w:tcW w:w="4337" w:type="dxa"/>
            <w:tcBorders>
              <w:top w:val="single" w:color="000000" w:sz="4" w:space="0"/>
              <w:left w:val="single" w:color="000000" w:sz="4" w:space="0"/>
              <w:bottom w:val="single" w:color="000000" w:sz="4" w:space="0"/>
              <w:right w:val="single" w:color="000000" w:sz="4" w:space="0"/>
            </w:tcBorders>
            <w:vAlign w:val="center"/>
          </w:tcPr>
          <w:p>
            <w:pPr>
              <w:adjustRightInd w:val="0"/>
              <w:spacing w:line="266" w:lineRule="exact"/>
              <w:ind w:firstLine="420" w:firstLineChars="200"/>
              <w:rPr>
                <w:rFonts w:hAnsi="宋体"/>
                <w:szCs w:val="21"/>
              </w:rPr>
            </w:pPr>
            <w:r>
              <w:rPr>
                <w:rFonts w:hint="eastAsia" w:hAnsi="宋体"/>
                <w:szCs w:val="21"/>
              </w:rPr>
              <w:t>《代理记账管理办法》</w:t>
            </w:r>
          </w:p>
          <w:p>
            <w:pPr>
              <w:adjustRightInd w:val="0"/>
              <w:spacing w:line="266" w:lineRule="exact"/>
              <w:ind w:firstLine="420" w:firstLineChars="200"/>
              <w:rPr>
                <w:rFonts w:hAnsi="宋体"/>
                <w:szCs w:val="21"/>
              </w:rPr>
            </w:pPr>
            <w:r>
              <w:rPr>
                <w:rFonts w:hint="eastAsia" w:hAnsi="宋体"/>
                <w:szCs w:val="21"/>
              </w:rPr>
              <w:t>第二十条  代理记账机构在经营期间达不到本办法规定的资格条件的，审批机关发现后，应当责令其在60日内整改；逾期仍达不到规定条件的，由审批机关撤销其代理记账资格。</w:t>
            </w:r>
          </w:p>
        </w:tc>
        <w:tc>
          <w:tcPr>
            <w:tcW w:w="920"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宋体" w:hAnsi="宋体" w:cs="宋体"/>
                <w:sz w:val="18"/>
                <w:szCs w:val="18"/>
              </w:rPr>
            </w:pPr>
            <w:r>
              <w:rPr>
                <w:rFonts w:hint="eastAsia" w:ascii="宋体" w:hAnsi="宋体" w:cs="宋体"/>
                <w:kern w:val="0"/>
                <w:sz w:val="18"/>
                <w:szCs w:val="18"/>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rPr>
                <w:szCs w:val="21"/>
              </w:rPr>
            </w:pPr>
            <w:r>
              <w:rPr>
                <w:rFonts w:hint="eastAsia"/>
                <w:szCs w:val="21"/>
              </w:rPr>
              <w:t>代理记账机构应当于每年4月30日之前，向审批机关报送下列材料：（一）代理记账机构基本情况表；（二）专职从业人员变动情况。代理记账机构主管代理记账业务的负责人发生变更，应当自作出变更决定或变更之日起30日内依法向审批机关办理变更登记，并应当自变更登记完成之日起20日内通过企业信用信息公示系统向社会公示。</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rPr>
                <w:rFonts w:hAnsi="宋体"/>
                <w:szCs w:val="21"/>
              </w:rPr>
            </w:pPr>
            <w:r>
              <w:rPr>
                <w:rFonts w:hint="eastAsia" w:hAnsi="宋体"/>
                <w:szCs w:val="21"/>
              </w:rPr>
              <w:t>区财政局综合科83158825</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5</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rPr>
                <w:rFonts w:hAnsi="宋体"/>
                <w:szCs w:val="21"/>
              </w:rPr>
            </w:pPr>
            <w:r>
              <w:rPr>
                <w:rFonts w:hint="eastAsia" w:hAnsi="宋体"/>
                <w:szCs w:val="21"/>
              </w:rPr>
              <w:t>代理记账机构从业人员在办理业务中遵守会计法律、法规和国家统一的会计制度的规定</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rPr>
                <w:rFonts w:hAnsi="宋体"/>
                <w:szCs w:val="21"/>
              </w:rPr>
            </w:pPr>
            <w:r>
              <w:rPr>
                <w:rFonts w:hint="eastAsia" w:hAnsi="宋体"/>
                <w:szCs w:val="21"/>
              </w:rPr>
              <w:t>代理记账机构从业人员在办理业务中违反会计法律、法规和国家统一的会计制度的规定</w:t>
            </w:r>
          </w:p>
        </w:tc>
        <w:tc>
          <w:tcPr>
            <w:tcW w:w="4337" w:type="dxa"/>
            <w:tcBorders>
              <w:top w:val="single" w:color="000000" w:sz="4" w:space="0"/>
              <w:left w:val="single" w:color="000000" w:sz="4" w:space="0"/>
              <w:bottom w:val="single" w:color="000000" w:sz="4" w:space="0"/>
              <w:right w:val="single" w:color="000000" w:sz="4" w:space="0"/>
            </w:tcBorders>
            <w:vAlign w:val="center"/>
          </w:tcPr>
          <w:p>
            <w:pPr>
              <w:adjustRightInd w:val="0"/>
              <w:spacing w:line="266" w:lineRule="exact"/>
              <w:ind w:firstLine="420" w:firstLineChars="200"/>
              <w:rPr>
                <w:rFonts w:hAnsi="宋体"/>
                <w:szCs w:val="21"/>
              </w:rPr>
            </w:pPr>
            <w:r>
              <w:rPr>
                <w:rFonts w:hint="eastAsia" w:hAnsi="宋体"/>
                <w:szCs w:val="21"/>
              </w:rPr>
              <w:t>《代理记账管理办法》</w:t>
            </w:r>
          </w:p>
          <w:p>
            <w:pPr>
              <w:adjustRightInd w:val="0"/>
              <w:spacing w:line="266" w:lineRule="exact"/>
              <w:ind w:firstLine="420" w:firstLineChars="200"/>
              <w:rPr>
                <w:rFonts w:hAnsi="宋体"/>
                <w:szCs w:val="21"/>
              </w:rPr>
            </w:pPr>
            <w:r>
              <w:rPr>
                <w:rFonts w:hint="eastAsia" w:hAnsi="宋体"/>
                <w:szCs w:val="21"/>
              </w:rPr>
              <w:t>第二十四条  代理记账机构从业人员在办理业务中违反会计法律、法规和国家统一的会计制度的规定，造成委托人会计核算混乱、损害国家和委托人利益的，由县级以上人民政府财政部门依据《</w:t>
            </w:r>
            <w:r>
              <w:fldChar w:fldCharType="begin"/>
            </w:r>
            <w:r>
              <w:instrText xml:space="preserve"> HYPERLINK "https://www.shui5.cn/article/48/116514.html" </w:instrText>
            </w:r>
            <w:r>
              <w:fldChar w:fldCharType="separate"/>
            </w:r>
            <w:r>
              <w:rPr>
                <w:rFonts w:hint="eastAsia" w:hAnsi="宋体"/>
                <w:szCs w:val="21"/>
              </w:rPr>
              <w:t>中华人民共和国会计法</w:t>
            </w:r>
            <w:r>
              <w:rPr>
                <w:rFonts w:hint="eastAsia" w:hAnsi="宋体"/>
                <w:szCs w:val="21"/>
              </w:rPr>
              <w:fldChar w:fldCharType="end"/>
            </w:r>
            <w:r>
              <w:rPr>
                <w:rFonts w:hint="eastAsia" w:hAnsi="宋体"/>
                <w:szCs w:val="21"/>
              </w:rPr>
              <w:t>》等有关法律、法规的规定处理。</w:t>
            </w:r>
          </w:p>
          <w:p>
            <w:pPr>
              <w:adjustRightInd w:val="0"/>
              <w:spacing w:line="266" w:lineRule="exact"/>
              <w:ind w:firstLine="420" w:firstLineChars="200"/>
              <w:rPr>
                <w:rFonts w:hAnsi="宋体"/>
                <w:szCs w:val="21"/>
              </w:rPr>
            </w:pPr>
            <w:r>
              <w:rPr>
                <w:rFonts w:hint="eastAsia" w:hAnsi="宋体"/>
                <w:szCs w:val="21"/>
              </w:rPr>
              <w:t>代理记账机构有前款行为的，县级以上人民政府财政部门应当责令其限期改正，并给予警告；有违法所得的，可以处违法所得3倍以下罚款，但最高不得超过3万元；没有违法所得的，可以处1万元以下罚款。</w:t>
            </w:r>
            <w:r>
              <w:rPr>
                <w:rFonts w:hAnsi="宋体"/>
                <w:szCs w:val="21"/>
              </w:rPr>
              <w:t xml:space="preserve">                                                  </w:t>
            </w:r>
          </w:p>
        </w:tc>
        <w:tc>
          <w:tcPr>
            <w:tcW w:w="920"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宋体" w:hAnsi="宋体" w:cs="宋体"/>
                <w:sz w:val="18"/>
                <w:szCs w:val="18"/>
              </w:rPr>
            </w:pPr>
            <w:r>
              <w:rPr>
                <w:rFonts w:hint="eastAsia" w:ascii="宋体" w:hAnsi="宋体" w:cs="宋体"/>
                <w:kern w:val="0"/>
                <w:sz w:val="18"/>
                <w:szCs w:val="18"/>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rPr>
                <w:szCs w:val="21"/>
              </w:rPr>
            </w:pPr>
            <w:r>
              <w:rPr>
                <w:rFonts w:hint="eastAsia"/>
                <w:szCs w:val="21"/>
              </w:rPr>
              <w:t>代理记账机构对从业人员应加强管理监督，防止出现《代理记账管理办法》第二十四条有关情形。</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rPr>
                <w:rFonts w:hAnsi="宋体"/>
                <w:szCs w:val="21"/>
              </w:rPr>
            </w:pPr>
            <w:r>
              <w:rPr>
                <w:rFonts w:hint="eastAsia" w:hAnsi="宋体"/>
                <w:szCs w:val="21"/>
              </w:rPr>
              <w:t>区财政局综合科83158825</w:t>
            </w:r>
          </w:p>
        </w:tc>
      </w:tr>
    </w:tbl>
    <w:p>
      <w:pPr>
        <w:widowControl/>
        <w:spacing w:line="300" w:lineRule="exact"/>
        <w:rPr>
          <w:rFonts w:eastAsia="方正楷体_GBK"/>
          <w:szCs w:val="21"/>
        </w:rPr>
      </w:pPr>
      <w:r>
        <w:rPr>
          <w:rFonts w:hint="eastAsia" w:eastAsia="方正楷体_GBK"/>
          <w:szCs w:val="21"/>
        </w:rPr>
        <w:t>备注：风险等级，发生频率较高的为★★★，发生频率一般的为★★，发生频率较少的为★。</w:t>
      </w:r>
    </w:p>
    <w:p>
      <w:pPr>
        <w:pStyle w:val="3"/>
        <w:rPr>
          <w:rFonts w:eastAsia="方正楷体_GBK"/>
          <w:szCs w:val="21"/>
        </w:rPr>
      </w:pPr>
    </w:p>
    <w:p>
      <w:pPr>
        <w:rPr>
          <w:rFonts w:eastAsia="方正楷体_GBK"/>
          <w:szCs w:val="21"/>
        </w:rPr>
      </w:pPr>
    </w:p>
    <w:p>
      <w:pPr>
        <w:pStyle w:val="3"/>
        <w:rPr>
          <w:rFonts w:eastAsia="方正楷体_GBK"/>
          <w:szCs w:val="21"/>
        </w:rPr>
      </w:pPr>
    </w:p>
    <w:p>
      <w:pPr>
        <w:rPr>
          <w:rFonts w:eastAsia="方正楷体_GBK"/>
          <w:szCs w:val="21"/>
        </w:rPr>
      </w:pPr>
    </w:p>
    <w:p>
      <w:pPr>
        <w:pStyle w:val="3"/>
        <w:rPr>
          <w:rFonts w:eastAsia="方正楷体_GBK"/>
          <w:szCs w:val="21"/>
        </w:rPr>
      </w:pPr>
    </w:p>
    <w:p>
      <w:pPr>
        <w:rPr>
          <w:rFonts w:eastAsia="方正楷体_GBK"/>
          <w:szCs w:val="21"/>
        </w:rPr>
      </w:pPr>
    </w:p>
    <w:p>
      <w:pPr>
        <w:overflowPunct w:val="0"/>
        <w:autoSpaceDE w:val="0"/>
        <w:autoSpaceDN w:val="0"/>
        <w:adjustRightInd w:val="0"/>
        <w:jc w:val="center"/>
        <w:rPr>
          <w:rFonts w:ascii="方正小标宋_GBK" w:hAnsi="华文中宋" w:eastAsia="方正小标宋_GBK"/>
          <w:kern w:val="0"/>
          <w:sz w:val="36"/>
          <w:szCs w:val="36"/>
        </w:rPr>
        <w:sectPr>
          <w:pgSz w:w="16838" w:h="11906" w:orient="landscape"/>
          <w:pgMar w:top="1800" w:right="1440" w:bottom="1800" w:left="1440" w:header="851" w:footer="992" w:gutter="0"/>
          <w:cols w:space="425" w:num="1"/>
          <w:docGrid w:type="lines" w:linePitch="312" w:charSpace="0"/>
        </w:sectPr>
      </w:pPr>
    </w:p>
    <w:p>
      <w:pPr>
        <w:overflowPunct w:val="0"/>
        <w:autoSpaceDE w:val="0"/>
        <w:autoSpaceDN w:val="0"/>
        <w:adjustRightInd w:val="0"/>
        <w:jc w:val="center"/>
        <w:rPr>
          <w:rFonts w:hint="eastAsia" w:ascii="方正小标宋_GBK" w:hAnsi="华文中宋" w:eastAsia="方正小标宋_GBK"/>
          <w:kern w:val="0"/>
          <w:sz w:val="36"/>
          <w:szCs w:val="36"/>
          <w:lang w:eastAsia="zh-CN"/>
        </w:rPr>
      </w:pPr>
      <w:r>
        <w:rPr>
          <w:rFonts w:hint="eastAsia" w:ascii="方正小标宋_GBK" w:hAnsi="华文中宋" w:eastAsia="方正小标宋_GBK"/>
          <w:kern w:val="0"/>
          <w:sz w:val="36"/>
          <w:szCs w:val="36"/>
          <w:lang w:eastAsia="zh-CN"/>
        </w:rPr>
        <w:t>梁溪区企业行政合规指导清单（第一批）</w:t>
      </w:r>
    </w:p>
    <w:p>
      <w:pPr>
        <w:overflowPunct w:val="0"/>
        <w:autoSpaceDE w:val="0"/>
        <w:autoSpaceDN w:val="0"/>
        <w:adjustRightInd w:val="0"/>
        <w:jc w:val="center"/>
        <w:rPr>
          <w:rFonts w:ascii="方正小标宋_GBK" w:hAnsi="华文中宋" w:eastAsia="方正小标宋_GBK"/>
          <w:kern w:val="0"/>
          <w:sz w:val="36"/>
          <w:szCs w:val="36"/>
        </w:rPr>
      </w:pPr>
      <w:r>
        <w:rPr>
          <w:rFonts w:hint="eastAsia" w:ascii="方正小标宋_GBK" w:hAnsi="华文中宋" w:eastAsia="方正小标宋_GBK"/>
          <w:kern w:val="0"/>
          <w:sz w:val="36"/>
          <w:szCs w:val="36"/>
        </w:rPr>
        <w:t>（区人力资源和社会保障局）</w:t>
      </w:r>
    </w:p>
    <w:tbl>
      <w:tblPr>
        <w:tblStyle w:val="6"/>
        <w:tblW w:w="14740" w:type="dxa"/>
        <w:jc w:val="center"/>
        <w:tblLayout w:type="autofit"/>
        <w:tblCellMar>
          <w:top w:w="0" w:type="dxa"/>
          <w:left w:w="108" w:type="dxa"/>
          <w:bottom w:w="0" w:type="dxa"/>
          <w:right w:w="108" w:type="dxa"/>
        </w:tblCellMar>
      </w:tblPr>
      <w:tblGrid>
        <w:gridCol w:w="876"/>
        <w:gridCol w:w="1773"/>
        <w:gridCol w:w="2300"/>
        <w:gridCol w:w="4337"/>
        <w:gridCol w:w="920"/>
        <w:gridCol w:w="2957"/>
        <w:gridCol w:w="1577"/>
      </w:tblGrid>
      <w:tr>
        <w:tblPrEx>
          <w:tblCellMar>
            <w:top w:w="0" w:type="dxa"/>
            <w:left w:w="108" w:type="dxa"/>
            <w:bottom w:w="0" w:type="dxa"/>
            <w:right w:w="108" w:type="dxa"/>
          </w:tblCellMar>
        </w:tblPrEx>
        <w:trPr>
          <w:trHeight w:val="763" w:hRule="atLeast"/>
          <w:tblHeader/>
          <w:jc w:val="center"/>
        </w:trPr>
        <w:tc>
          <w:tcPr>
            <w:tcW w:w="876"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序号</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行政合规</w:t>
            </w:r>
          </w:p>
          <w:p>
            <w:pPr>
              <w:spacing w:line="280" w:lineRule="exact"/>
              <w:jc w:val="center"/>
              <w:rPr>
                <w:rFonts w:ascii="方正黑体_GBK" w:hAnsi="黑体" w:eastAsia="方正黑体_GBK"/>
                <w:szCs w:val="21"/>
              </w:rPr>
            </w:pPr>
            <w:r>
              <w:rPr>
                <w:rFonts w:hint="eastAsia" w:ascii="方正黑体_GBK" w:hAnsi="黑体" w:eastAsia="方正黑体_GBK"/>
                <w:szCs w:val="21"/>
              </w:rPr>
              <w:t>事项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常见违法行为表现</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法律依据及违法责任</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风险等级</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合规建议</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指导部门（科室）</w:t>
            </w:r>
          </w:p>
        </w:tc>
      </w:tr>
      <w:tr>
        <w:tblPrEx>
          <w:tblCellMar>
            <w:top w:w="0" w:type="dxa"/>
            <w:left w:w="108" w:type="dxa"/>
            <w:bottom w:w="0" w:type="dxa"/>
            <w:right w:w="108" w:type="dxa"/>
          </w:tblCellMar>
        </w:tblPrEx>
        <w:trPr>
          <w:trHeight w:val="23" w:hRule="atLeast"/>
          <w:jc w:val="center"/>
        </w:trPr>
        <w:tc>
          <w:tcPr>
            <w:tcW w:w="876" w:type="dxa"/>
            <w:tcBorders>
              <w:top w:val="single" w:color="000000" w:sz="4" w:space="0"/>
              <w:left w:val="single" w:color="000000" w:sz="4" w:space="0"/>
              <w:bottom w:val="single" w:color="000000" w:sz="4" w:space="0"/>
              <w:right w:val="single" w:color="000000" w:sz="4" w:space="0"/>
            </w:tcBorders>
            <w:noWrap/>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1</w:t>
            </w:r>
          </w:p>
        </w:tc>
        <w:tc>
          <w:tcPr>
            <w:tcW w:w="1773"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用人单位不得扣押劳动者的居民身份证和其他证件</w:t>
            </w:r>
          </w:p>
        </w:tc>
        <w:tc>
          <w:tcPr>
            <w:tcW w:w="230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扣押居民身份证等证件。</w:t>
            </w:r>
          </w:p>
        </w:tc>
        <w:tc>
          <w:tcPr>
            <w:tcW w:w="433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【法律】《中华人民共和国劳动合同法》（2012修正）</w:t>
            </w:r>
          </w:p>
          <w:p>
            <w:pPr>
              <w:spacing w:line="280" w:lineRule="exact"/>
              <w:jc w:val="center"/>
              <w:rPr>
                <w:szCs w:val="21"/>
              </w:rPr>
            </w:pPr>
            <w:r>
              <w:rPr>
                <w:rFonts w:hint="eastAsia"/>
                <w:szCs w:val="21"/>
              </w:rPr>
              <w:t>第九条 用人单位招用劳动者，不得扣押劳动者的居民身份证和其他证件， 不得要求劳动者提供担保或者以其他名义向劳动者收取财物。</w:t>
            </w:r>
          </w:p>
          <w:p>
            <w:pPr>
              <w:spacing w:line="280" w:lineRule="exact"/>
              <w:jc w:val="center"/>
              <w:rPr>
                <w:szCs w:val="21"/>
              </w:rPr>
            </w:pPr>
            <w:r>
              <w:rPr>
                <w:rFonts w:hint="eastAsia"/>
                <w:szCs w:val="21"/>
              </w:rPr>
              <w:t>第八十四条第一款 用人单位违反本法规定，扣押劳动者居民身份证等证件的，由劳动行政部门责令限期退还劳动者本人，并依照有关法律规定给予处罚。</w:t>
            </w:r>
          </w:p>
        </w:tc>
        <w:tc>
          <w:tcPr>
            <w:tcW w:w="92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用人单位在招聘录用劳动者时，可以查验劳动者身份信息，但不得扣押劳动者的身份证件。</w:t>
            </w:r>
          </w:p>
        </w:tc>
        <w:tc>
          <w:tcPr>
            <w:tcW w:w="157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区劳动保障监察大队</w:t>
            </w:r>
          </w:p>
          <w:p>
            <w:pPr>
              <w:spacing w:line="280" w:lineRule="exact"/>
              <w:jc w:val="center"/>
              <w:rPr>
                <w:szCs w:val="21"/>
              </w:rPr>
            </w:pPr>
            <w:r>
              <w:rPr>
                <w:rFonts w:hint="eastAsia"/>
                <w:szCs w:val="21"/>
              </w:rPr>
              <w:t>85056387</w:t>
            </w:r>
          </w:p>
        </w:tc>
      </w:tr>
      <w:tr>
        <w:tblPrEx>
          <w:tblCellMar>
            <w:top w:w="0" w:type="dxa"/>
            <w:left w:w="108" w:type="dxa"/>
            <w:bottom w:w="0" w:type="dxa"/>
            <w:right w:w="108" w:type="dxa"/>
          </w:tblCellMar>
        </w:tblPrEx>
        <w:trPr>
          <w:trHeight w:val="23" w:hRule="atLeast"/>
          <w:jc w:val="center"/>
        </w:trPr>
        <w:tc>
          <w:tcPr>
            <w:tcW w:w="876" w:type="dxa"/>
            <w:tcBorders>
              <w:top w:val="single" w:color="000000" w:sz="4" w:space="0"/>
              <w:left w:val="single" w:color="000000" w:sz="4" w:space="0"/>
              <w:bottom w:val="single" w:color="000000" w:sz="4" w:space="0"/>
              <w:right w:val="single" w:color="000000" w:sz="4" w:space="0"/>
            </w:tcBorders>
            <w:noWrap/>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2</w:t>
            </w:r>
          </w:p>
        </w:tc>
        <w:tc>
          <w:tcPr>
            <w:tcW w:w="1773"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用人单位不得要求劳动者提供担保或者以其他名义向劳动者收取财物</w:t>
            </w:r>
          </w:p>
        </w:tc>
        <w:tc>
          <w:tcPr>
            <w:tcW w:w="230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以担保或者其他名义收取劳动者押金或保证金。</w:t>
            </w:r>
          </w:p>
        </w:tc>
        <w:tc>
          <w:tcPr>
            <w:tcW w:w="433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【法律】《中华人民共和国劳动合同法》（2012修正）</w:t>
            </w:r>
          </w:p>
          <w:p>
            <w:pPr>
              <w:spacing w:line="280" w:lineRule="exact"/>
              <w:jc w:val="center"/>
              <w:rPr>
                <w:szCs w:val="21"/>
              </w:rPr>
            </w:pPr>
            <w:r>
              <w:rPr>
                <w:rFonts w:hint="eastAsia"/>
                <w:szCs w:val="21"/>
              </w:rPr>
              <w:t>第九条 用人单位招用劳动者，不得扣押劳动者的居民身份证和其他证件， 不得要求劳动者提供担保或者以其他名义向劳动者收取财物。</w:t>
            </w:r>
          </w:p>
          <w:p>
            <w:pPr>
              <w:spacing w:line="280" w:lineRule="exact"/>
              <w:jc w:val="center"/>
              <w:rPr>
                <w:szCs w:val="21"/>
              </w:rPr>
            </w:pPr>
            <w:r>
              <w:rPr>
                <w:rFonts w:hint="eastAsia"/>
                <w:szCs w:val="21"/>
              </w:rPr>
              <w:t>第八十四条第二款 用人单位违反本法规定，以担保或者其他名义向劳动者收取财物的，由劳动行政部门责令限期退还劳动者本人，并以每人五百元以上二千元以下的标准处以罚款；给劳动者造成损害的，应当承担赔偿责任。</w:t>
            </w:r>
          </w:p>
        </w:tc>
        <w:tc>
          <w:tcPr>
            <w:tcW w:w="92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用人单位招用劳动者，不能向劳动者收取押金、保证金等财物。</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区劳动保障监察大队</w:t>
            </w:r>
          </w:p>
          <w:p>
            <w:pPr>
              <w:spacing w:line="280" w:lineRule="exact"/>
              <w:jc w:val="center"/>
              <w:rPr>
                <w:szCs w:val="21"/>
              </w:rPr>
            </w:pPr>
            <w:r>
              <w:rPr>
                <w:rFonts w:hint="eastAsia"/>
                <w:szCs w:val="21"/>
              </w:rPr>
              <w:t>85056387</w:t>
            </w:r>
          </w:p>
          <w:p>
            <w:pPr>
              <w:spacing w:line="280" w:lineRule="exact"/>
              <w:jc w:val="center"/>
              <w:rPr>
                <w:szCs w:val="21"/>
              </w:rPr>
            </w:pPr>
          </w:p>
        </w:tc>
      </w:tr>
      <w:tr>
        <w:tblPrEx>
          <w:tblCellMar>
            <w:top w:w="0" w:type="dxa"/>
            <w:left w:w="108" w:type="dxa"/>
            <w:bottom w:w="0" w:type="dxa"/>
            <w:right w:w="108" w:type="dxa"/>
          </w:tblCellMar>
        </w:tblPrEx>
        <w:trPr>
          <w:trHeight w:val="2305" w:hRule="atLeast"/>
          <w:jc w:val="center"/>
        </w:trPr>
        <w:tc>
          <w:tcPr>
            <w:tcW w:w="876" w:type="dxa"/>
            <w:tcBorders>
              <w:top w:val="single" w:color="000000" w:sz="4" w:space="0"/>
              <w:left w:val="single" w:color="000000" w:sz="4" w:space="0"/>
              <w:bottom w:val="single" w:color="000000" w:sz="4" w:space="0"/>
              <w:right w:val="single" w:color="000000" w:sz="4" w:space="0"/>
            </w:tcBorders>
            <w:noWrap/>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3</w:t>
            </w:r>
          </w:p>
        </w:tc>
        <w:tc>
          <w:tcPr>
            <w:tcW w:w="1773"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用人单位应当依法与劳动者订立书面劳动合同</w:t>
            </w:r>
          </w:p>
        </w:tc>
        <w:tc>
          <w:tcPr>
            <w:tcW w:w="230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自用工之日或劳动合同期满之日起超过一个月不满一年未与劳动者订立、续订书面劳动合同且未按规定每月支付二倍的工资。</w:t>
            </w:r>
          </w:p>
        </w:tc>
        <w:tc>
          <w:tcPr>
            <w:tcW w:w="433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r>
              <w:rPr>
                <w:rFonts w:hint="eastAsia"/>
                <w:szCs w:val="21"/>
              </w:rPr>
              <w:t>【法律】《中华人民共和国劳动合同法》（2012修正） 第十条 建立劳动关系，应当订立书面劳动合同。</w:t>
            </w:r>
          </w:p>
          <w:p>
            <w:pPr>
              <w:spacing w:line="280" w:lineRule="exact"/>
              <w:jc w:val="center"/>
              <w:rPr>
                <w:szCs w:val="21"/>
              </w:rPr>
            </w:pPr>
            <w:r>
              <w:rPr>
                <w:rFonts w:hint="eastAsia"/>
                <w:szCs w:val="21"/>
              </w:rPr>
              <w:t>已建立劳动关系，未同时订立书面劳动合同的，应当自用工之日起一个月内订立书面劳动合同。</w:t>
            </w:r>
          </w:p>
          <w:p>
            <w:pPr>
              <w:spacing w:line="280" w:lineRule="exact"/>
              <w:jc w:val="center"/>
              <w:rPr>
                <w:szCs w:val="21"/>
              </w:rPr>
            </w:pPr>
            <w:r>
              <w:rPr>
                <w:rFonts w:hint="eastAsia"/>
                <w:szCs w:val="21"/>
              </w:rPr>
              <w:t>用人单位与劳动者在用工前订立劳动合同的，劳动关系自用工之日起建立。第八十二条第一款  用人单位自用工之日起超过一个月不满一年未与劳动者订立书面劳动合同的，应当向劳动者每月支付二倍的工资。</w:t>
            </w:r>
          </w:p>
          <w:p>
            <w:pPr>
              <w:spacing w:line="280" w:lineRule="exact"/>
              <w:jc w:val="center"/>
              <w:rPr>
                <w:szCs w:val="21"/>
              </w:rPr>
            </w:pPr>
            <w:r>
              <w:rPr>
                <w:rFonts w:hint="eastAsia"/>
                <w:szCs w:val="21"/>
              </w:rPr>
              <w:t>【地方性法规】《江苏省劳动合同条例》（2013修订）</w:t>
            </w:r>
          </w:p>
          <w:p>
            <w:pPr>
              <w:spacing w:line="280" w:lineRule="exact"/>
              <w:jc w:val="center"/>
              <w:rPr>
                <w:szCs w:val="21"/>
              </w:rPr>
            </w:pPr>
            <w:r>
              <w:rPr>
                <w:rFonts w:hint="eastAsia"/>
                <w:szCs w:val="21"/>
              </w:rPr>
              <w:t>第十六条第一款 劳动合同期满，用人单位未与劳动者续订劳动合同，但劳动者继续在用人单位工作的，用人单位应当在一个月内与劳动者续订书面劳动合同。劳动者经用人单位书面通知后，不与用人单位续订劳动合同的，用人单位应当书面通知劳动者终止劳动关系。</w:t>
            </w:r>
          </w:p>
          <w:p>
            <w:pPr>
              <w:spacing w:line="280" w:lineRule="exact"/>
              <w:jc w:val="center"/>
              <w:rPr>
                <w:szCs w:val="21"/>
              </w:rPr>
            </w:pPr>
            <w:r>
              <w:rPr>
                <w:rFonts w:hint="eastAsia"/>
                <w:szCs w:val="21"/>
              </w:rPr>
              <w:t>第五十二条第一款第二款 用人单位违反本条例规定，有下列情形之一的， 应当立即与劳动者补订书面劳动合同，并向劳动者每月支付二倍的工资:</w:t>
            </w:r>
          </w:p>
          <w:p>
            <w:pPr>
              <w:spacing w:line="280" w:lineRule="exact"/>
              <w:jc w:val="center"/>
              <w:rPr>
                <w:szCs w:val="21"/>
              </w:rPr>
            </w:pPr>
            <w:r>
              <w:rPr>
                <w:rFonts w:hint="eastAsia"/>
                <w:szCs w:val="21"/>
              </w:rPr>
              <w:t>（一）招用企业停产放长假人员、未达到法定退休年龄的离岗休养人员以及其他协商保留劳动关系的不在岗人员，自用工之日起超过一个月不满一年未订立书面劳动合同的；</w:t>
            </w:r>
          </w:p>
          <w:p>
            <w:pPr>
              <w:spacing w:line="280" w:lineRule="exact"/>
              <w:jc w:val="center"/>
              <w:rPr>
                <w:szCs w:val="21"/>
              </w:rPr>
            </w:pPr>
            <w:r>
              <w:rPr>
                <w:rFonts w:hint="eastAsia"/>
                <w:szCs w:val="21"/>
              </w:rPr>
              <w:t>（二）劳动合同期满继续留用劳动者工作，但自期满之日起超过一个月不满一年未与劳动者续订书面劳动合同的。</w:t>
            </w:r>
          </w:p>
          <w:p>
            <w:pPr>
              <w:spacing w:line="280" w:lineRule="exact"/>
              <w:jc w:val="center"/>
              <w:rPr>
                <w:szCs w:val="21"/>
              </w:rPr>
            </w:pPr>
            <w:r>
              <w:rPr>
                <w:rFonts w:hint="eastAsia"/>
                <w:szCs w:val="21"/>
              </w:rPr>
              <w:t>前款规定的用人单位向劳动者每月支付二倍工资的起算时间为劳动合同期满之日起满一个月的次日，截止时间为补订书面劳动合同的前一日。</w:t>
            </w:r>
          </w:p>
          <w:p>
            <w:pPr>
              <w:spacing w:line="280" w:lineRule="exact"/>
              <w:jc w:val="center"/>
              <w:rPr>
                <w:szCs w:val="21"/>
              </w:rPr>
            </w:pPr>
            <w:r>
              <w:rPr>
                <w:rFonts w:hint="eastAsia"/>
                <w:szCs w:val="21"/>
              </w:rPr>
              <w:t>【行政法规】《中华人民共和国劳动合同法实施条例》</w:t>
            </w:r>
          </w:p>
          <w:p>
            <w:pPr>
              <w:spacing w:line="280" w:lineRule="exact"/>
              <w:jc w:val="center"/>
              <w:rPr>
                <w:szCs w:val="21"/>
              </w:rPr>
            </w:pPr>
            <w:r>
              <w:rPr>
                <w:rFonts w:hint="eastAsia"/>
                <w:szCs w:val="21"/>
              </w:rPr>
              <w:t>第三十四条 用人单位依照劳动合同法的规定应当向劳动者每月支付两倍的工资或者应当向劳动者支付赔偿金而未支付的，劳动行政部门应当责令用人单位支付。</w:t>
            </w:r>
          </w:p>
        </w:tc>
        <w:tc>
          <w:tcPr>
            <w:tcW w:w="92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用人单位与劳动者建立劳动关系，应当自用工之日起一个月内订立书面劳动合同。劳动合同期满， 用人单位未与劳动者续订劳动合同，但劳动者继续在用人单位工作的，用人单位应当在一个月内与劳动者续订书面劳动合同。</w:t>
            </w:r>
          </w:p>
        </w:tc>
        <w:tc>
          <w:tcPr>
            <w:tcW w:w="157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区劳动人事争议调处中心 85850209</w:t>
            </w:r>
          </w:p>
          <w:p>
            <w:pPr>
              <w:spacing w:line="280" w:lineRule="exact"/>
              <w:jc w:val="center"/>
              <w:rPr>
                <w:szCs w:val="21"/>
              </w:rPr>
            </w:pPr>
          </w:p>
        </w:tc>
      </w:tr>
      <w:tr>
        <w:tblPrEx>
          <w:tblCellMar>
            <w:top w:w="0" w:type="dxa"/>
            <w:left w:w="108" w:type="dxa"/>
            <w:bottom w:w="0" w:type="dxa"/>
            <w:right w:w="108" w:type="dxa"/>
          </w:tblCellMar>
        </w:tblPrEx>
        <w:trPr>
          <w:trHeight w:val="3359" w:hRule="atLeast"/>
          <w:jc w:val="center"/>
        </w:trPr>
        <w:tc>
          <w:tcPr>
            <w:tcW w:w="876" w:type="dxa"/>
            <w:tcBorders>
              <w:top w:val="single" w:color="000000" w:sz="4" w:space="0"/>
              <w:left w:val="single" w:color="000000" w:sz="4" w:space="0"/>
              <w:bottom w:val="single" w:color="000000" w:sz="4" w:space="0"/>
              <w:right w:val="single" w:color="000000" w:sz="4" w:space="0"/>
            </w:tcBorders>
            <w:noWrap/>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4</w:t>
            </w:r>
          </w:p>
        </w:tc>
        <w:tc>
          <w:tcPr>
            <w:tcW w:w="1773"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用人单位不得违反试用期规定</w:t>
            </w:r>
          </w:p>
        </w:tc>
        <w:tc>
          <w:tcPr>
            <w:tcW w:w="230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用人单位违反试用期规定与劳动者签订劳动合同。</w:t>
            </w:r>
          </w:p>
        </w:tc>
        <w:tc>
          <w:tcPr>
            <w:tcW w:w="433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r>
              <w:rPr>
                <w:rFonts w:hint="eastAsia"/>
                <w:szCs w:val="21"/>
              </w:rPr>
              <w:t>【法律】《中华人民共和国劳动合同法》（2012修正）</w:t>
            </w:r>
          </w:p>
          <w:p>
            <w:pPr>
              <w:spacing w:line="280" w:lineRule="exact"/>
              <w:jc w:val="center"/>
              <w:rPr>
                <w:szCs w:val="21"/>
              </w:rPr>
            </w:pPr>
            <w:r>
              <w:rPr>
                <w:rFonts w:hint="eastAsia"/>
                <w:szCs w:val="21"/>
              </w:rPr>
              <w:t>第十九条 劳动合同期限三个月以上不满一年的，试用期不得超过一个月； 劳动合同期限一年以上不满三年的，试用期不得超过二个月；三年以上固定期限和无固定期限的劳动合同，试用期不得超过六个月。</w:t>
            </w:r>
          </w:p>
          <w:p>
            <w:pPr>
              <w:spacing w:line="280" w:lineRule="exact"/>
              <w:jc w:val="center"/>
              <w:rPr>
                <w:szCs w:val="21"/>
              </w:rPr>
            </w:pPr>
            <w:r>
              <w:rPr>
                <w:rFonts w:hint="eastAsia"/>
                <w:szCs w:val="21"/>
              </w:rPr>
              <w:t>同一用人单位与同一劳动者只能约定一次试用期。</w:t>
            </w:r>
          </w:p>
          <w:p>
            <w:pPr>
              <w:spacing w:line="280" w:lineRule="exact"/>
              <w:jc w:val="center"/>
              <w:rPr>
                <w:szCs w:val="21"/>
              </w:rPr>
            </w:pPr>
            <w:r>
              <w:rPr>
                <w:rFonts w:hint="eastAsia"/>
                <w:szCs w:val="21"/>
              </w:rPr>
              <w:t>以完成一定工作任务为期限的劳动合同或者劳动合同期限不满三个月的， 不得约定试用期。</w:t>
            </w:r>
          </w:p>
          <w:p>
            <w:pPr>
              <w:spacing w:line="280" w:lineRule="exact"/>
              <w:jc w:val="center"/>
              <w:rPr>
                <w:szCs w:val="21"/>
              </w:rPr>
            </w:pPr>
            <w:r>
              <w:rPr>
                <w:rFonts w:hint="eastAsia"/>
                <w:szCs w:val="21"/>
              </w:rPr>
              <w:t>试用期包含在劳动合同期限内。劳动合同仅约定试用期的，试用期不成立， 该期限为劳动合同期限。</w:t>
            </w:r>
          </w:p>
          <w:p>
            <w:pPr>
              <w:spacing w:line="280" w:lineRule="exact"/>
              <w:jc w:val="center"/>
              <w:rPr>
                <w:szCs w:val="21"/>
              </w:rPr>
            </w:pPr>
            <w:r>
              <w:rPr>
                <w:rFonts w:hint="eastAsia"/>
                <w:szCs w:val="21"/>
              </w:rPr>
              <w:t>第八十三条 用人单位违反本法规定与劳动者约定试用期的，由劳动行政部门责令改正；违法约定的试用期已经履行的，由用人单位以劳动者试用期满月工资为标准，按已经履行的超过法定试用期的期间向劳动者支付赔偿金。</w:t>
            </w:r>
          </w:p>
          <w:p>
            <w:pPr>
              <w:spacing w:line="280" w:lineRule="exact"/>
              <w:jc w:val="center"/>
              <w:rPr>
                <w:szCs w:val="21"/>
              </w:rPr>
            </w:pPr>
            <w:r>
              <w:rPr>
                <w:rFonts w:hint="eastAsia"/>
                <w:szCs w:val="21"/>
              </w:rPr>
              <w:t>【行政法规】《中华人民共和国劳动合同法实施条例》</w:t>
            </w:r>
          </w:p>
          <w:p>
            <w:pPr>
              <w:spacing w:line="280" w:lineRule="exact"/>
              <w:jc w:val="center"/>
              <w:rPr>
                <w:szCs w:val="21"/>
              </w:rPr>
            </w:pPr>
            <w:r>
              <w:rPr>
                <w:rFonts w:hint="eastAsia"/>
                <w:szCs w:val="21"/>
              </w:rPr>
              <w:t>第三十四条 用人单位依照劳动合同法的规定应当向劳动者每月支付两倍的工资或者应当向劳动者支付赔偿金而未支付的，劳动行政部门应当责令用人单位支付。</w:t>
            </w:r>
          </w:p>
        </w:tc>
        <w:tc>
          <w:tcPr>
            <w:tcW w:w="92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劳动合同期限三个月以上不满一年的，试用期不得超过一个月； 劳动合同期限一年以上不满三年的，试用期不得超过二个月；三年以上固定期限和无固定期限的劳动合同，试用期不得超过六个月。</w:t>
            </w:r>
          </w:p>
          <w:p>
            <w:pPr>
              <w:spacing w:line="280" w:lineRule="exact"/>
              <w:jc w:val="center"/>
              <w:rPr>
                <w:szCs w:val="21"/>
              </w:rPr>
            </w:pPr>
            <w:r>
              <w:rPr>
                <w:rFonts w:hint="eastAsia"/>
                <w:szCs w:val="21"/>
              </w:rPr>
              <w:t>试用期也应当签订劳动合同，期限应当包含在劳动合同期限内；</w:t>
            </w:r>
          </w:p>
          <w:p>
            <w:pPr>
              <w:spacing w:line="280" w:lineRule="exact"/>
              <w:jc w:val="center"/>
              <w:rPr>
                <w:szCs w:val="21"/>
              </w:rPr>
            </w:pPr>
            <w:r>
              <w:rPr>
                <w:rFonts w:hint="eastAsia"/>
                <w:szCs w:val="21"/>
              </w:rPr>
              <w:t>同一用人单位与同一劳动者只能约定一次试用期。</w:t>
            </w:r>
          </w:p>
        </w:tc>
        <w:tc>
          <w:tcPr>
            <w:tcW w:w="157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区劳动人事争议调处中心 85050209</w:t>
            </w:r>
          </w:p>
          <w:p>
            <w:pPr>
              <w:spacing w:line="280" w:lineRule="exact"/>
              <w:jc w:val="center"/>
              <w:rPr>
                <w:szCs w:val="21"/>
              </w:rPr>
            </w:pP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5</w:t>
            </w:r>
          </w:p>
        </w:tc>
        <w:tc>
          <w:tcPr>
            <w:tcW w:w="1773"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劳动合同文本由用人单位和劳动者各执一份</w:t>
            </w:r>
          </w:p>
        </w:tc>
        <w:tc>
          <w:tcPr>
            <w:tcW w:w="230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未将劳动合同文本交付劳动者。</w:t>
            </w:r>
          </w:p>
        </w:tc>
        <w:tc>
          <w:tcPr>
            <w:tcW w:w="433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【法律】《中华人民共和国劳动合同法》（2012修正）</w:t>
            </w:r>
          </w:p>
          <w:p>
            <w:pPr>
              <w:spacing w:line="280" w:lineRule="exact"/>
              <w:jc w:val="center"/>
              <w:rPr>
                <w:szCs w:val="21"/>
              </w:rPr>
            </w:pPr>
            <w:r>
              <w:rPr>
                <w:rFonts w:hint="eastAsia"/>
                <w:szCs w:val="21"/>
              </w:rPr>
              <w:t>第十六条 劳动合同由用人单位与劳动者协商一致，并经用人单位与劳动者在劳动合同文本上签字或者盖章生效。</w:t>
            </w:r>
          </w:p>
          <w:p>
            <w:pPr>
              <w:spacing w:line="280" w:lineRule="exact"/>
              <w:jc w:val="center"/>
              <w:rPr>
                <w:szCs w:val="21"/>
              </w:rPr>
            </w:pPr>
            <w:r>
              <w:rPr>
                <w:rFonts w:hint="eastAsia"/>
                <w:szCs w:val="21"/>
              </w:rPr>
              <w:t>劳动合同文本由用人单位和劳动者各执一份。</w:t>
            </w:r>
          </w:p>
          <w:p>
            <w:pPr>
              <w:spacing w:line="280" w:lineRule="exact"/>
              <w:jc w:val="center"/>
              <w:rPr>
                <w:szCs w:val="21"/>
              </w:rPr>
            </w:pPr>
            <w:r>
              <w:rPr>
                <w:rFonts w:hint="eastAsia"/>
                <w:szCs w:val="21"/>
              </w:rPr>
              <w:t>第八十一条 用人单位提供的劳动合同文本未载明本法规定的劳动合同必备条款或者用人单位未将劳动合同文本交付劳动者的，由劳动行政部门责令改正；给劳动者造成损害的，应当承担赔偿责任。</w:t>
            </w:r>
          </w:p>
          <w:p>
            <w:pPr>
              <w:spacing w:line="280" w:lineRule="exact"/>
              <w:jc w:val="center"/>
              <w:rPr>
                <w:szCs w:val="21"/>
              </w:rPr>
            </w:pPr>
            <w:r>
              <w:rPr>
                <w:rFonts w:hint="eastAsia"/>
                <w:szCs w:val="21"/>
              </w:rPr>
              <w:t>【地方性法规】《江苏省劳动合同条例》（2013修订）</w:t>
            </w:r>
          </w:p>
          <w:p>
            <w:pPr>
              <w:spacing w:line="280" w:lineRule="exact"/>
              <w:jc w:val="center"/>
              <w:rPr>
                <w:szCs w:val="21"/>
              </w:rPr>
            </w:pPr>
            <w:r>
              <w:rPr>
                <w:rFonts w:hint="eastAsia"/>
                <w:szCs w:val="21"/>
              </w:rPr>
              <w:t>第十二条 劳动合同由用人单位与劳动者协商一致，并经用人单位与劳动者在劳动合同文本上签字或者盖章生效。</w:t>
            </w:r>
          </w:p>
          <w:p>
            <w:pPr>
              <w:spacing w:line="280" w:lineRule="exact"/>
              <w:jc w:val="center"/>
              <w:rPr>
                <w:szCs w:val="21"/>
              </w:rPr>
            </w:pPr>
            <w:r>
              <w:rPr>
                <w:rFonts w:hint="eastAsia"/>
                <w:szCs w:val="21"/>
              </w:rPr>
              <w:t>劳动合同同时使用中文和外文文本的，合同内容应当一致，不一致的以中文文本为准。</w:t>
            </w:r>
          </w:p>
          <w:p>
            <w:pPr>
              <w:spacing w:line="280" w:lineRule="exact"/>
              <w:jc w:val="center"/>
              <w:rPr>
                <w:szCs w:val="21"/>
              </w:rPr>
            </w:pPr>
            <w:r>
              <w:rPr>
                <w:rFonts w:hint="eastAsia"/>
                <w:szCs w:val="21"/>
              </w:rPr>
              <w:t>劳动合同文本由用人单位和劳动者各执一份。用人单位应当自劳动合同订立之日起五个工作日内将文本交付劳动者本人，不得扣押。</w:t>
            </w: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tc>
        <w:tc>
          <w:tcPr>
            <w:tcW w:w="92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劳动合同应当由用人单位与劳动者协商一致，并经用人单位与劳动者在劳动合同文本上签字或者盖章生效；</w:t>
            </w:r>
          </w:p>
          <w:p>
            <w:pPr>
              <w:spacing w:line="280" w:lineRule="exact"/>
              <w:jc w:val="center"/>
              <w:rPr>
                <w:szCs w:val="21"/>
              </w:rPr>
            </w:pPr>
            <w:r>
              <w:rPr>
                <w:rFonts w:hint="eastAsia"/>
                <w:szCs w:val="21"/>
              </w:rPr>
              <w:t>劳动合同应当具备必备条款</w:t>
            </w:r>
          </w:p>
          <w:p>
            <w:pPr>
              <w:spacing w:line="280" w:lineRule="exact"/>
              <w:jc w:val="center"/>
              <w:rPr>
                <w:szCs w:val="21"/>
              </w:rPr>
            </w:pPr>
            <w:r>
              <w:rPr>
                <w:rFonts w:hint="eastAsia"/>
                <w:szCs w:val="21"/>
              </w:rPr>
              <w:t>（具体可详见《劳动合同法》第十七条）；</w:t>
            </w:r>
          </w:p>
          <w:p>
            <w:pPr>
              <w:spacing w:line="280" w:lineRule="exact"/>
              <w:jc w:val="center"/>
              <w:rPr>
                <w:szCs w:val="21"/>
              </w:rPr>
            </w:pPr>
            <w:r>
              <w:rPr>
                <w:rFonts w:hint="eastAsia"/>
                <w:szCs w:val="21"/>
              </w:rPr>
              <w:t>用人单位应当自劳动合同订立之日起五个工作日内将文本交付劳动者本人。</w:t>
            </w:r>
          </w:p>
        </w:tc>
        <w:tc>
          <w:tcPr>
            <w:tcW w:w="157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区劳动保障监察大队</w:t>
            </w:r>
          </w:p>
          <w:p>
            <w:pPr>
              <w:spacing w:line="280" w:lineRule="exact"/>
              <w:jc w:val="center"/>
              <w:rPr>
                <w:szCs w:val="21"/>
              </w:rPr>
            </w:pPr>
            <w:r>
              <w:rPr>
                <w:rFonts w:hint="eastAsia"/>
                <w:szCs w:val="21"/>
              </w:rPr>
              <w:t>85056387</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6</w:t>
            </w:r>
          </w:p>
        </w:tc>
        <w:tc>
          <w:tcPr>
            <w:tcW w:w="1773"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在劳动者提供正常劳动的情况 下，用人单位支付给劳动者的工资不得低于当地最低工资标准</w:t>
            </w:r>
          </w:p>
        </w:tc>
        <w:tc>
          <w:tcPr>
            <w:tcW w:w="230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低于当地最低工资标准支付劳动者工资。</w:t>
            </w:r>
          </w:p>
        </w:tc>
        <w:tc>
          <w:tcPr>
            <w:tcW w:w="433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r>
              <w:rPr>
                <w:rFonts w:hint="eastAsia"/>
                <w:szCs w:val="21"/>
              </w:rPr>
              <w:t>【法律】《中华人民共和国劳动合同法》（2012修正）</w:t>
            </w:r>
          </w:p>
          <w:p>
            <w:pPr>
              <w:spacing w:line="280" w:lineRule="exact"/>
              <w:jc w:val="center"/>
              <w:rPr>
                <w:szCs w:val="21"/>
              </w:rPr>
            </w:pPr>
            <w:r>
              <w:rPr>
                <w:rFonts w:hint="eastAsia"/>
                <w:szCs w:val="21"/>
              </w:rPr>
              <w:t>第八十五条 用人单位有下列情形之一的，由劳动行政部门责令限期支付劳动报酬、加班费或者经济补偿；劳动报酬低于当地最低工资标准的，应当支付其差额部分；逾期不支付的，责令用人单位按应付金额百分之五十以上百分之一百以下的标准向劳动者加付赔偿金：</w:t>
            </w:r>
          </w:p>
          <w:p>
            <w:pPr>
              <w:spacing w:line="280" w:lineRule="exact"/>
              <w:jc w:val="center"/>
              <w:rPr>
                <w:szCs w:val="21"/>
              </w:rPr>
            </w:pPr>
            <w:r>
              <w:rPr>
                <w:rFonts w:hint="eastAsia"/>
                <w:szCs w:val="21"/>
              </w:rPr>
              <w:t>（二）低于当地最低工资标准支付劳动者工资的；</w:t>
            </w:r>
          </w:p>
          <w:p>
            <w:pPr>
              <w:spacing w:line="280" w:lineRule="exact"/>
              <w:jc w:val="center"/>
              <w:rPr>
                <w:szCs w:val="21"/>
              </w:rPr>
            </w:pPr>
            <w:r>
              <w:rPr>
                <w:rFonts w:hint="eastAsia"/>
                <w:szCs w:val="21"/>
              </w:rPr>
              <w:t>【法律】《中华人民共和国劳动法》（2018修正）</w:t>
            </w:r>
          </w:p>
          <w:p>
            <w:pPr>
              <w:spacing w:line="280" w:lineRule="exact"/>
              <w:jc w:val="center"/>
              <w:rPr>
                <w:szCs w:val="21"/>
              </w:rPr>
            </w:pPr>
            <w:r>
              <w:rPr>
                <w:rFonts w:hint="eastAsia"/>
                <w:szCs w:val="21"/>
              </w:rPr>
              <w:t>第四十八条 国家实行最低工资保障制度。最低工资的具体标准由省、自治区、直辖市人民政府规定，报国务院备案。</w:t>
            </w:r>
          </w:p>
          <w:p>
            <w:pPr>
              <w:spacing w:line="280" w:lineRule="exact"/>
              <w:jc w:val="center"/>
              <w:rPr>
                <w:szCs w:val="21"/>
              </w:rPr>
            </w:pPr>
            <w:r>
              <w:rPr>
                <w:rFonts w:hint="eastAsia"/>
                <w:szCs w:val="21"/>
              </w:rPr>
              <w:t>用人单位支付劳动者的工资不得低于当地最低工资标准。</w:t>
            </w:r>
          </w:p>
          <w:p>
            <w:pPr>
              <w:spacing w:line="280" w:lineRule="exact"/>
              <w:jc w:val="center"/>
              <w:rPr>
                <w:szCs w:val="21"/>
              </w:rPr>
            </w:pPr>
            <w:r>
              <w:rPr>
                <w:rFonts w:hint="eastAsia"/>
                <w:szCs w:val="21"/>
              </w:rPr>
              <w:t>【地方性法规】《江苏省工资支付条例》（2021修正）</w:t>
            </w:r>
          </w:p>
          <w:p>
            <w:pPr>
              <w:spacing w:line="280" w:lineRule="exact"/>
              <w:jc w:val="center"/>
              <w:rPr>
                <w:szCs w:val="21"/>
              </w:rPr>
            </w:pPr>
            <w:r>
              <w:rPr>
                <w:rFonts w:hint="eastAsia"/>
                <w:szCs w:val="21"/>
              </w:rPr>
              <w:t>第十二条第一款第二款 劳动者提供了正常劳动，用人单位应当按照劳动合同约定的工资标准支付劳动者工资。劳动合同约定的工资标准不得低于当地最低工资标准。</w:t>
            </w:r>
          </w:p>
          <w:p>
            <w:pPr>
              <w:spacing w:line="280" w:lineRule="exact"/>
              <w:jc w:val="center"/>
              <w:rPr>
                <w:szCs w:val="21"/>
              </w:rPr>
            </w:pPr>
            <w:r>
              <w:rPr>
                <w:rFonts w:hint="eastAsia"/>
                <w:szCs w:val="21"/>
              </w:rPr>
              <w:t>劳动者有下列特殊情形之一，但提供了正常劳动的，用人单位支付给劳动</w:t>
            </w:r>
          </w:p>
          <w:p>
            <w:pPr>
              <w:spacing w:line="280" w:lineRule="exact"/>
              <w:jc w:val="center"/>
              <w:rPr>
                <w:szCs w:val="21"/>
              </w:rPr>
            </w:pPr>
            <w:r>
              <w:rPr>
                <w:rFonts w:hint="eastAsia"/>
                <w:szCs w:val="21"/>
              </w:rPr>
              <w:t>者的工资不得低于当地最低工资标准，其中非全日制劳动者的工资不得低于当地小时最低工资标准:</w:t>
            </w:r>
          </w:p>
          <w:p>
            <w:pPr>
              <w:spacing w:line="280" w:lineRule="exact"/>
              <w:jc w:val="center"/>
              <w:rPr>
                <w:szCs w:val="21"/>
              </w:rPr>
            </w:pPr>
            <w:r>
              <w:rPr>
                <w:rFonts w:hint="eastAsia"/>
                <w:szCs w:val="21"/>
              </w:rPr>
              <w:t>（一）在试用期内的；</w:t>
            </w:r>
          </w:p>
          <w:p>
            <w:pPr>
              <w:spacing w:line="280" w:lineRule="exact"/>
              <w:jc w:val="center"/>
              <w:rPr>
                <w:szCs w:val="21"/>
              </w:rPr>
            </w:pPr>
            <w:r>
              <w:rPr>
                <w:rFonts w:hint="eastAsia"/>
                <w:szCs w:val="21"/>
              </w:rPr>
              <w:t>（二）因用人单位实行预付部分工资、分批支付工资的；</w:t>
            </w:r>
          </w:p>
          <w:p>
            <w:pPr>
              <w:spacing w:line="280" w:lineRule="exact"/>
              <w:jc w:val="center"/>
              <w:rPr>
                <w:szCs w:val="21"/>
              </w:rPr>
            </w:pPr>
            <w:r>
              <w:rPr>
                <w:rFonts w:hint="eastAsia"/>
                <w:szCs w:val="21"/>
              </w:rPr>
              <w:t>（三）违反用人单位依法制定的规章制度，被用人单位扣除当月部分工资的；</w:t>
            </w:r>
          </w:p>
          <w:p>
            <w:pPr>
              <w:spacing w:line="280" w:lineRule="exact"/>
              <w:jc w:val="center"/>
              <w:rPr>
                <w:szCs w:val="21"/>
              </w:rPr>
            </w:pPr>
            <w:r>
              <w:rPr>
                <w:rFonts w:hint="eastAsia"/>
                <w:szCs w:val="21"/>
              </w:rPr>
              <w:t>（四）给用人单位造成经济损失，用人单位按照劳动合同的约定以及依法制定的规章制度的规定需要从工资中扣除赔偿费的；</w:t>
            </w:r>
          </w:p>
          <w:p>
            <w:pPr>
              <w:spacing w:line="280" w:lineRule="exact"/>
              <w:jc w:val="center"/>
              <w:rPr>
                <w:szCs w:val="21"/>
              </w:rPr>
            </w:pPr>
            <w:r>
              <w:rPr>
                <w:rFonts w:hint="eastAsia"/>
                <w:szCs w:val="21"/>
              </w:rPr>
              <w:t>（五）因用人单位生产经营困难不能按工资标准支付工资，经用人单位与本单位工会或者职工代表协商一致后降低工资标准的。</w:t>
            </w:r>
          </w:p>
          <w:p>
            <w:pPr>
              <w:spacing w:line="280" w:lineRule="exact"/>
              <w:jc w:val="center"/>
              <w:rPr>
                <w:szCs w:val="21"/>
              </w:rPr>
            </w:pPr>
            <w:r>
              <w:rPr>
                <w:rFonts w:hint="eastAsia"/>
                <w:szCs w:val="21"/>
              </w:rPr>
              <w:t>【部门规章】《最低工资规定》</w:t>
            </w:r>
          </w:p>
          <w:p>
            <w:pPr>
              <w:spacing w:line="280" w:lineRule="exact"/>
              <w:jc w:val="center"/>
              <w:rPr>
                <w:szCs w:val="21"/>
              </w:rPr>
            </w:pPr>
            <w:r>
              <w:rPr>
                <w:rFonts w:hint="eastAsia"/>
                <w:szCs w:val="21"/>
              </w:rPr>
              <w:t>第十二条第一款、第二款 在劳动者提供正常劳动的情况下，用人单位应支付给劳动者的工资在剔除下列各项以后，不得低于当地最低工资标准；</w:t>
            </w:r>
          </w:p>
          <w:p>
            <w:pPr>
              <w:spacing w:line="280" w:lineRule="exact"/>
              <w:jc w:val="center"/>
              <w:rPr>
                <w:szCs w:val="21"/>
              </w:rPr>
            </w:pPr>
            <w:r>
              <w:rPr>
                <w:rFonts w:hint="eastAsia"/>
                <w:szCs w:val="21"/>
              </w:rPr>
              <w:t>（一）</w:t>
            </w:r>
            <w:r>
              <w:fldChar w:fldCharType="begin"/>
            </w:r>
            <w:r>
              <w:instrText xml:space="preserve"> HYPERLINK "https://baike.so.com/doc/6240029-6453406.html" \h </w:instrText>
            </w:r>
            <w:r>
              <w:fldChar w:fldCharType="separate"/>
            </w:r>
            <w:r>
              <w:rPr>
                <w:rFonts w:hint="eastAsia"/>
                <w:szCs w:val="21"/>
              </w:rPr>
              <w:t>延长工作时间</w:t>
            </w:r>
            <w:r>
              <w:rPr>
                <w:rFonts w:hint="eastAsia"/>
                <w:szCs w:val="21"/>
              </w:rPr>
              <w:fldChar w:fldCharType="end"/>
            </w:r>
            <w:r>
              <w:rPr>
                <w:rFonts w:hint="eastAsia"/>
                <w:szCs w:val="21"/>
              </w:rPr>
              <w:t>工资；</w:t>
            </w:r>
          </w:p>
          <w:p>
            <w:pPr>
              <w:spacing w:line="280" w:lineRule="exact"/>
              <w:jc w:val="center"/>
              <w:rPr>
                <w:szCs w:val="21"/>
              </w:rPr>
            </w:pPr>
            <w:r>
              <w:rPr>
                <w:rFonts w:hint="eastAsia"/>
                <w:szCs w:val="21"/>
              </w:rPr>
              <w:t>（二）中班、夜班、高温、低温、井下、有毒有害等特殊工作环境、条件下的津贴；</w:t>
            </w:r>
          </w:p>
          <w:p>
            <w:pPr>
              <w:spacing w:line="280" w:lineRule="exact"/>
              <w:jc w:val="center"/>
              <w:rPr>
                <w:szCs w:val="21"/>
              </w:rPr>
            </w:pPr>
            <w:r>
              <w:rPr>
                <w:rFonts w:hint="eastAsia"/>
                <w:szCs w:val="21"/>
              </w:rPr>
              <w:t>（三）法律、法规和国家规定的劳动者福利待遇等。</w:t>
            </w:r>
          </w:p>
          <w:p>
            <w:pPr>
              <w:spacing w:line="280" w:lineRule="exact"/>
              <w:jc w:val="center"/>
              <w:rPr>
                <w:szCs w:val="21"/>
              </w:rPr>
            </w:pPr>
            <w:r>
              <w:rPr>
                <w:rFonts w:hint="eastAsia"/>
                <w:szCs w:val="21"/>
              </w:rPr>
              <w:t>实行</w:t>
            </w:r>
            <w:r>
              <w:fldChar w:fldCharType="begin"/>
            </w:r>
            <w:r>
              <w:instrText xml:space="preserve"> HYPERLINK "https://baike.so.com/doc/5910740-6123648.html" \h </w:instrText>
            </w:r>
            <w:r>
              <w:fldChar w:fldCharType="separate"/>
            </w:r>
            <w:r>
              <w:rPr>
                <w:rFonts w:hint="eastAsia"/>
                <w:szCs w:val="21"/>
              </w:rPr>
              <w:t>计件工资</w:t>
            </w:r>
            <w:r>
              <w:rPr>
                <w:rFonts w:hint="eastAsia"/>
                <w:szCs w:val="21"/>
              </w:rPr>
              <w:fldChar w:fldCharType="end"/>
            </w:r>
            <w:r>
              <w:rPr>
                <w:rFonts w:hint="eastAsia"/>
                <w:szCs w:val="21"/>
              </w:rPr>
              <w:t>或提成工资等工资形式的用人单位，在科学合理的劳动定额基础上，其支付劳动者的工资不得低于相应的最低工资标准。</w:t>
            </w:r>
          </w:p>
        </w:tc>
        <w:tc>
          <w:tcPr>
            <w:tcW w:w="92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1.在劳动者提供正常劳动的情况下，用人单位应支付给劳动者的工资在剔除下列各项以后，不得低于当地最低工资标准:</w:t>
            </w:r>
          </w:p>
          <w:p>
            <w:pPr>
              <w:spacing w:line="280" w:lineRule="exact"/>
              <w:jc w:val="center"/>
              <w:rPr>
                <w:szCs w:val="21"/>
              </w:rPr>
            </w:pPr>
            <w:r>
              <w:rPr>
                <w:rFonts w:hint="eastAsia"/>
                <w:szCs w:val="21"/>
              </w:rPr>
              <w:t>加班加点工资；</w:t>
            </w:r>
          </w:p>
          <w:p>
            <w:pPr>
              <w:spacing w:line="280" w:lineRule="exact"/>
              <w:jc w:val="center"/>
              <w:rPr>
                <w:szCs w:val="21"/>
              </w:rPr>
            </w:pPr>
            <w:r>
              <w:rPr>
                <w:rFonts w:hint="eastAsia"/>
                <w:szCs w:val="21"/>
              </w:rPr>
              <w:t>中班、夜班、高温、低温、井下、有毒有害等特殊工作环境、条件下的津贴；</w:t>
            </w:r>
          </w:p>
          <w:p>
            <w:pPr>
              <w:spacing w:line="280" w:lineRule="exact"/>
              <w:jc w:val="center"/>
              <w:rPr>
                <w:szCs w:val="21"/>
              </w:rPr>
            </w:pPr>
            <w:r>
              <w:rPr>
                <w:rFonts w:hint="eastAsia"/>
                <w:szCs w:val="21"/>
              </w:rPr>
              <w:t>劳动者按下限缴存的住房公积金；</w:t>
            </w:r>
          </w:p>
          <w:p>
            <w:pPr>
              <w:spacing w:line="280" w:lineRule="exact"/>
              <w:jc w:val="center"/>
              <w:rPr>
                <w:szCs w:val="21"/>
              </w:rPr>
            </w:pPr>
            <w:r>
              <w:rPr>
                <w:rFonts w:hint="eastAsia"/>
                <w:szCs w:val="21"/>
              </w:rPr>
              <w:t>法律、法规和国家规定的劳动者福利待遇等。</w:t>
            </w:r>
          </w:p>
          <w:p>
            <w:pPr>
              <w:spacing w:line="280" w:lineRule="exact"/>
              <w:jc w:val="center"/>
              <w:rPr>
                <w:szCs w:val="21"/>
              </w:rPr>
            </w:pPr>
            <w:r>
              <w:rPr>
                <w:rFonts w:hint="eastAsia"/>
                <w:szCs w:val="21"/>
              </w:rPr>
              <w:t>实行计件工资或提成工资等工资形式的用人单位，在科学合理的劳动定额基础上，其支付劳动者的工资不得低于相应的最低工资标准。</w:t>
            </w:r>
          </w:p>
          <w:p>
            <w:pPr>
              <w:spacing w:line="280" w:lineRule="exact"/>
              <w:jc w:val="center"/>
              <w:rPr>
                <w:szCs w:val="21"/>
              </w:rPr>
            </w:pPr>
            <w:r>
              <w:rPr>
                <w:rFonts w:hint="eastAsia"/>
                <w:szCs w:val="21"/>
              </w:rPr>
              <w:t>劳动者由于本人原因造成在法定工作时间内或依法签订的劳动合同约定的工作时间内未提供正常劳动的，不适用本条规定。</w:t>
            </w:r>
          </w:p>
        </w:tc>
        <w:tc>
          <w:tcPr>
            <w:tcW w:w="157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区劳动保障监察大队</w:t>
            </w:r>
          </w:p>
          <w:p>
            <w:pPr>
              <w:spacing w:line="280" w:lineRule="exact"/>
              <w:jc w:val="center"/>
              <w:rPr>
                <w:szCs w:val="21"/>
              </w:rPr>
            </w:pPr>
            <w:r>
              <w:rPr>
                <w:rFonts w:hint="eastAsia"/>
                <w:szCs w:val="21"/>
              </w:rPr>
              <w:t>85056387</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7</w:t>
            </w:r>
          </w:p>
        </w:tc>
        <w:tc>
          <w:tcPr>
            <w:tcW w:w="1773"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用人单位应当依法保障劳动者休息权</w:t>
            </w:r>
          </w:p>
        </w:tc>
        <w:tc>
          <w:tcPr>
            <w:tcW w:w="230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安排劳动者超时加班。</w:t>
            </w:r>
          </w:p>
        </w:tc>
        <w:tc>
          <w:tcPr>
            <w:tcW w:w="433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r>
              <w:rPr>
                <w:rFonts w:hint="eastAsia"/>
                <w:szCs w:val="21"/>
              </w:rPr>
              <w:t>【法律】《中华人民共和国劳动法》（2018修正）</w:t>
            </w:r>
          </w:p>
          <w:p>
            <w:pPr>
              <w:spacing w:line="280" w:lineRule="exact"/>
              <w:jc w:val="center"/>
              <w:rPr>
                <w:szCs w:val="21"/>
              </w:rPr>
            </w:pPr>
            <w:r>
              <w:rPr>
                <w:rFonts w:hint="eastAsia"/>
                <w:szCs w:val="21"/>
              </w:rPr>
              <w:t>第三十八条 用人单位应当保证劳动者每周至少休息1日。</w:t>
            </w:r>
          </w:p>
          <w:p>
            <w:pPr>
              <w:spacing w:line="280" w:lineRule="exact"/>
              <w:jc w:val="center"/>
              <w:rPr>
                <w:szCs w:val="21"/>
              </w:rPr>
            </w:pPr>
            <w:r>
              <w:rPr>
                <w:rFonts w:hint="eastAsia"/>
                <w:szCs w:val="21"/>
              </w:rPr>
              <w:t>第四十一条 用人单位由于生产经营需要，经与工会和劳动者协商后可以延长工作时间，一般每日不得超过1小时；因特殊原因需要延长工作时间的在保障劳动者身体健康的条件下延长工作时间每日不得超过3小时，但是每月不得超过36小时。</w:t>
            </w:r>
          </w:p>
          <w:p>
            <w:pPr>
              <w:spacing w:line="280" w:lineRule="exact"/>
              <w:jc w:val="center"/>
              <w:rPr>
                <w:szCs w:val="21"/>
              </w:rPr>
            </w:pPr>
            <w:r>
              <w:rPr>
                <w:rFonts w:hint="eastAsia"/>
                <w:szCs w:val="21"/>
              </w:rPr>
              <w:t>【行政法规】《国务院关于职工工作时间的规定》  第三条 职工每日工作8小时、每周工作40小时。</w:t>
            </w:r>
          </w:p>
          <w:p>
            <w:pPr>
              <w:spacing w:line="280" w:lineRule="exact"/>
              <w:jc w:val="center"/>
              <w:rPr>
                <w:szCs w:val="21"/>
              </w:rPr>
            </w:pPr>
            <w:r>
              <w:rPr>
                <w:rFonts w:hint="eastAsia"/>
                <w:szCs w:val="21"/>
              </w:rPr>
              <w:t>【行政法规】《劳动保障监察条例》</w:t>
            </w:r>
          </w:p>
          <w:p>
            <w:pPr>
              <w:spacing w:line="280" w:lineRule="exact"/>
              <w:jc w:val="center"/>
              <w:rPr>
                <w:szCs w:val="21"/>
              </w:rPr>
            </w:pPr>
            <w:r>
              <w:rPr>
                <w:rFonts w:hint="eastAsia"/>
                <w:szCs w:val="21"/>
              </w:rPr>
              <w:t>第二十五条 用人单位违反劳动保障法律、法规或者规章延长劳动者工作时间的，由劳动保障行政部门给予警告，责令限期改正，并可以按照受侵害的劳动者每人100元以上500元以下的标准计算，处以罚款。</w:t>
            </w:r>
          </w:p>
        </w:tc>
        <w:tc>
          <w:tcPr>
            <w:tcW w:w="92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r>
              <w:rPr>
                <w:rFonts w:hint="eastAsia"/>
                <w:szCs w:val="21"/>
              </w:rPr>
              <w:t>劳动者每日工作时间不超过</w:t>
            </w:r>
          </w:p>
          <w:p>
            <w:pPr>
              <w:spacing w:line="280" w:lineRule="exact"/>
              <w:jc w:val="center"/>
              <w:rPr>
                <w:szCs w:val="21"/>
              </w:rPr>
            </w:pPr>
            <w:r>
              <w:rPr>
                <w:rFonts w:hint="eastAsia"/>
                <w:szCs w:val="21"/>
              </w:rPr>
              <w:t>8小时、平均每周工作时间不超过40 小时，每周保证至少休息一日。因特殊原因可以延长工作时间，每日不得超过3小时，每月不得超过36 小时。</w:t>
            </w:r>
          </w:p>
          <w:p>
            <w:pPr>
              <w:spacing w:line="280" w:lineRule="exact"/>
              <w:jc w:val="center"/>
              <w:rPr>
                <w:szCs w:val="21"/>
              </w:rPr>
            </w:pPr>
            <w:r>
              <w:rPr>
                <w:rFonts w:hint="eastAsia"/>
                <w:szCs w:val="21"/>
              </w:rPr>
              <w:t>用人单位需延长工作时间的，应当严格控制时长，不得超过法定限度，同时，应及时足额支付加班加点工资。</w:t>
            </w:r>
          </w:p>
          <w:p>
            <w:pPr>
              <w:spacing w:line="280" w:lineRule="exact"/>
              <w:jc w:val="center"/>
              <w:rPr>
                <w:szCs w:val="21"/>
              </w:rPr>
            </w:pPr>
            <w:r>
              <w:rPr>
                <w:rFonts w:hint="eastAsia"/>
                <w:szCs w:val="21"/>
              </w:rPr>
              <w:t>建议在规章制度中完善加班</w:t>
            </w:r>
          </w:p>
          <w:p>
            <w:pPr>
              <w:spacing w:line="280" w:lineRule="exact"/>
              <w:jc w:val="center"/>
              <w:rPr>
                <w:szCs w:val="21"/>
              </w:rPr>
            </w:pPr>
            <w:r>
              <w:rPr>
                <w:rFonts w:hint="eastAsia"/>
                <w:szCs w:val="21"/>
              </w:rPr>
              <w:t>调休管理等相关制度。</w:t>
            </w:r>
          </w:p>
        </w:tc>
        <w:tc>
          <w:tcPr>
            <w:tcW w:w="157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区劳动保障监察大队</w:t>
            </w:r>
          </w:p>
          <w:p>
            <w:pPr>
              <w:spacing w:line="280" w:lineRule="exact"/>
              <w:jc w:val="center"/>
              <w:rPr>
                <w:szCs w:val="21"/>
              </w:rPr>
            </w:pPr>
            <w:r>
              <w:rPr>
                <w:rFonts w:hint="eastAsia"/>
                <w:szCs w:val="21"/>
              </w:rPr>
              <w:t>85056387</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8</w:t>
            </w:r>
          </w:p>
        </w:tc>
        <w:tc>
          <w:tcPr>
            <w:tcW w:w="1773"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用人单位应当依法支付高温津贴</w:t>
            </w:r>
          </w:p>
        </w:tc>
        <w:tc>
          <w:tcPr>
            <w:tcW w:w="230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未依法支付高温津贴。</w:t>
            </w:r>
          </w:p>
        </w:tc>
        <w:tc>
          <w:tcPr>
            <w:tcW w:w="433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r>
              <w:rPr>
                <w:rFonts w:hint="eastAsia"/>
                <w:szCs w:val="21"/>
              </w:rPr>
              <w:t>【地方性法规】《江苏省劳动合同条例》（2013修订）</w:t>
            </w:r>
          </w:p>
          <w:p>
            <w:pPr>
              <w:spacing w:line="280" w:lineRule="exact"/>
              <w:jc w:val="center"/>
              <w:rPr>
                <w:szCs w:val="21"/>
              </w:rPr>
            </w:pPr>
            <w:r>
              <w:rPr>
                <w:rFonts w:hint="eastAsia"/>
                <w:szCs w:val="21"/>
              </w:rPr>
              <w:t>第二十三条 用人单位安排劳动者从事高温天气作业和高温作业的，应当采取防暑降温措施，并按照国家和省的规定向劳动者支付高温津贴、岗位津贴。</w:t>
            </w:r>
          </w:p>
          <w:p>
            <w:pPr>
              <w:spacing w:line="280" w:lineRule="exact"/>
              <w:jc w:val="center"/>
              <w:rPr>
                <w:szCs w:val="21"/>
              </w:rPr>
            </w:pPr>
            <w:r>
              <w:rPr>
                <w:rFonts w:hint="eastAsia"/>
                <w:szCs w:val="21"/>
              </w:rPr>
              <w:t>用人单位支付的高温津贴不得低于国家和省规定的标准。</w:t>
            </w:r>
          </w:p>
          <w:p>
            <w:pPr>
              <w:spacing w:line="280" w:lineRule="exact"/>
              <w:jc w:val="center"/>
              <w:rPr>
                <w:szCs w:val="21"/>
              </w:rPr>
            </w:pPr>
            <w:r>
              <w:rPr>
                <w:rFonts w:hint="eastAsia"/>
                <w:szCs w:val="21"/>
              </w:rPr>
              <w:t>【法律】《中华人民共和国劳动合同法》（2012修正）</w:t>
            </w:r>
          </w:p>
          <w:p>
            <w:pPr>
              <w:spacing w:line="280" w:lineRule="exact"/>
              <w:jc w:val="center"/>
              <w:rPr>
                <w:szCs w:val="21"/>
              </w:rPr>
            </w:pPr>
            <w:r>
              <w:rPr>
                <w:rFonts w:hint="eastAsia"/>
                <w:szCs w:val="21"/>
              </w:rPr>
              <w:t>第八十五条第（一）项 用人单位有下列情形之一的，由劳动行政部门责令限期支付劳动报酬、加班费或者经济补偿；劳动报酬低于当地最低工资标准的， 应当支付其差额部分；逾期不支付的，责令用人单位按应付金额百分之五十以上百分之一百以下的标准向劳动者加付赔偿金：</w:t>
            </w:r>
          </w:p>
          <w:p>
            <w:pPr>
              <w:spacing w:line="280" w:lineRule="exact"/>
              <w:jc w:val="center"/>
              <w:rPr>
                <w:szCs w:val="21"/>
              </w:rPr>
            </w:pPr>
            <w:r>
              <w:rPr>
                <w:rFonts w:hint="eastAsia"/>
                <w:szCs w:val="21"/>
              </w:rPr>
              <w:t>（一）未按照劳动合同的约定或者国家规定及时足额支付劳动者劳动报酬的；</w:t>
            </w:r>
          </w:p>
        </w:tc>
        <w:tc>
          <w:tcPr>
            <w:tcW w:w="92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r>
              <w:rPr>
                <w:rFonts w:hint="eastAsia"/>
                <w:szCs w:val="21"/>
              </w:rPr>
              <w:t>用人单位安排劳动者在35℃ 以上高温天气从事室外露天作业以及不能采取有效措施将工作场所温度降低到33℃以下的，应当向劳动者发放高温津贴，并纳入工资总额。</w:t>
            </w:r>
          </w:p>
          <w:p>
            <w:pPr>
              <w:spacing w:line="280" w:lineRule="exact"/>
              <w:jc w:val="center"/>
              <w:rPr>
                <w:szCs w:val="21"/>
              </w:rPr>
            </w:pPr>
            <w:r>
              <w:rPr>
                <w:rFonts w:hint="eastAsia"/>
                <w:szCs w:val="21"/>
              </w:rPr>
              <w:t>具体标准是每人每月300元， 支付时间为4个月（6月、7月、8月、9月）；符合高温津贴支付条件的，应当在当月工资表中单列高温津贴项目，明确发放情况；防暑降温饮料不能替代高温津贴。</w:t>
            </w:r>
          </w:p>
          <w:p>
            <w:pPr>
              <w:spacing w:line="280" w:lineRule="exact"/>
              <w:jc w:val="center"/>
              <w:rPr>
                <w:szCs w:val="21"/>
              </w:rPr>
            </w:pPr>
            <w:r>
              <w:rPr>
                <w:rFonts w:hint="eastAsia"/>
                <w:szCs w:val="21"/>
              </w:rPr>
              <w:t>如已采取有效降温措施的， 需注意保留相关证据。</w:t>
            </w:r>
          </w:p>
        </w:tc>
        <w:tc>
          <w:tcPr>
            <w:tcW w:w="157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区劳动保障监察大队</w:t>
            </w:r>
          </w:p>
          <w:p>
            <w:pPr>
              <w:spacing w:line="280" w:lineRule="exact"/>
              <w:jc w:val="center"/>
              <w:rPr>
                <w:szCs w:val="21"/>
              </w:rPr>
            </w:pPr>
            <w:r>
              <w:rPr>
                <w:rFonts w:hint="eastAsia"/>
                <w:szCs w:val="21"/>
              </w:rPr>
              <w:t>85056387</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9</w:t>
            </w:r>
          </w:p>
        </w:tc>
        <w:tc>
          <w:tcPr>
            <w:tcW w:w="1773"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用人单位应当依法安排职工享受带薪年休假</w:t>
            </w:r>
          </w:p>
        </w:tc>
        <w:tc>
          <w:tcPr>
            <w:tcW w:w="230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不安排职工休带薪年休假又不依照规定给予年休假工资报酬。</w:t>
            </w:r>
          </w:p>
        </w:tc>
        <w:tc>
          <w:tcPr>
            <w:tcW w:w="433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【行政法规】《职工带薪年休假条例》</w:t>
            </w:r>
          </w:p>
          <w:p>
            <w:pPr>
              <w:spacing w:line="280" w:lineRule="exact"/>
              <w:jc w:val="center"/>
              <w:rPr>
                <w:szCs w:val="21"/>
              </w:rPr>
            </w:pPr>
            <w:r>
              <w:rPr>
                <w:rFonts w:hint="eastAsia"/>
                <w:szCs w:val="21"/>
              </w:rPr>
              <w:t>第二条 机关、团体、企业、事业单位、民办非企业单位、有雇工的个体工商户等单位的职工连续工作1年以上的，享受带薪年休假（以下简称年休假）。单位应当保证职工享受年休假。职工在年休假期间享受与正常 工作期间相同的工资收入。</w:t>
            </w:r>
          </w:p>
          <w:p>
            <w:pPr>
              <w:spacing w:line="280" w:lineRule="exact"/>
              <w:jc w:val="center"/>
              <w:rPr>
                <w:szCs w:val="21"/>
              </w:rPr>
            </w:pPr>
            <w:r>
              <w:rPr>
                <w:rFonts w:hint="eastAsia"/>
                <w:szCs w:val="21"/>
              </w:rPr>
              <w:t>第五条 单位根据生产、工作的具体情况，并考虑职工本人意愿，统筹安排职工年休假。</w:t>
            </w:r>
          </w:p>
          <w:p>
            <w:pPr>
              <w:spacing w:line="280" w:lineRule="exact"/>
              <w:jc w:val="center"/>
              <w:rPr>
                <w:szCs w:val="21"/>
              </w:rPr>
            </w:pPr>
            <w:r>
              <w:rPr>
                <w:rFonts w:hint="eastAsia"/>
                <w:szCs w:val="21"/>
              </w:rPr>
              <w:t>年休假在1个年度内可以集中安排，也可以分段安排，一般不跨年度安排。单位因生产、工作特点确有必要跨年度安排职工年休假的，可以跨1个年度安排。</w:t>
            </w:r>
          </w:p>
          <w:p>
            <w:pPr>
              <w:spacing w:line="280" w:lineRule="exact"/>
              <w:jc w:val="center"/>
              <w:rPr>
                <w:szCs w:val="21"/>
              </w:rPr>
            </w:pPr>
            <w:r>
              <w:rPr>
                <w:rFonts w:hint="eastAsia"/>
                <w:szCs w:val="21"/>
              </w:rPr>
              <w:t>单位确因工作需要不能安排职工休年休假的，经职工本人同意，可以不安排职工休年休假。对职工应休未休的年休假天数，单位应当按照该职工日工资收入的300%支付年休假工资报酬。</w:t>
            </w:r>
          </w:p>
          <w:p>
            <w:pPr>
              <w:spacing w:line="280" w:lineRule="exact"/>
              <w:jc w:val="center"/>
              <w:rPr>
                <w:szCs w:val="21"/>
              </w:rPr>
            </w:pPr>
            <w:r>
              <w:rPr>
                <w:rFonts w:hint="eastAsia"/>
                <w:szCs w:val="21"/>
              </w:rPr>
              <w:t>第七条 单位不安排职工休年休假又不依照本条例规定给予年休假工资报酬的，由县级以上地方人民政府人事部门或者劳动保障部门依据职权责令限期改正；对逾期不改正的，除责令该单位支付年休假工资报酬外，单位还应当按照年休假工资报酬的数额向职工加付赔偿金；对拒不支付年休假工资报酬、赔偿金的，属于公务员和参照公务员法管理的人员所在单位的，对直接负责的主管人员以及其他直接责任人员依法给予处分；属于其他单位的，由劳动保障部门、人事部门或者职工申请人民法院强制执行。</w:t>
            </w:r>
          </w:p>
        </w:tc>
        <w:tc>
          <w:tcPr>
            <w:tcW w:w="92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职工累计工作已满1年不满10年的，年休假5天；已满10年不满20年的，年休假10天；已满20年的， 年休假15天，国家法定休假日、休息日不计入年休假的假期。单位确因工作需要不能安排职工休年休假的，经职工本人同意，可以不安排职工休年休假。对职工应休未休的年休假天数，单位应当按照该职工日工资收入的300%支付年休假工资报酬。累计工作年限不限于本单位工作年限，用人单位应当依法保障劳动者休息休假权。</w:t>
            </w:r>
          </w:p>
          <w:p>
            <w:pPr>
              <w:spacing w:line="280" w:lineRule="exact"/>
              <w:jc w:val="center"/>
              <w:rPr>
                <w:szCs w:val="21"/>
              </w:rPr>
            </w:pPr>
            <w:r>
              <w:rPr>
                <w:rFonts w:hint="eastAsia"/>
                <w:szCs w:val="21"/>
              </w:rPr>
              <w:t>年休假可以在1个年度内集中安排，也可以分段安排，但一般不跨年度安排。单位因生产、工作特点确有必要跨年度安排职工年休假的，可以跨1个年度安排。</w:t>
            </w:r>
          </w:p>
          <w:p>
            <w:pPr>
              <w:spacing w:line="280" w:lineRule="exact"/>
              <w:jc w:val="center"/>
              <w:rPr>
                <w:szCs w:val="21"/>
              </w:rPr>
            </w:pPr>
            <w:r>
              <w:rPr>
                <w:rFonts w:hint="eastAsia"/>
                <w:szCs w:val="21"/>
              </w:rPr>
              <w:t>确因单位原因不能安排年休假的，经职工同意后，应当依法支付年休假工资。</w:t>
            </w:r>
          </w:p>
          <w:p>
            <w:pPr>
              <w:spacing w:line="280" w:lineRule="exact"/>
              <w:jc w:val="center"/>
              <w:rPr>
                <w:szCs w:val="21"/>
              </w:rPr>
            </w:pPr>
            <w:r>
              <w:rPr>
                <w:rFonts w:hint="eastAsia"/>
                <w:szCs w:val="21"/>
              </w:rPr>
              <w:t>职工当年度中途离职的，未休年休假按照当年度已工作时间折算：（当年度在本单位已过日历天数</w:t>
            </w:r>
          </w:p>
          <w:p>
            <w:pPr>
              <w:spacing w:line="280" w:lineRule="exact"/>
              <w:jc w:val="center"/>
              <w:rPr>
                <w:szCs w:val="21"/>
              </w:rPr>
            </w:pPr>
            <w:r>
              <w:rPr>
                <w:rFonts w:hint="eastAsia"/>
                <w:szCs w:val="21"/>
              </w:rPr>
              <w:t>÷365天）×职工本人全年应当享受的年休假天数-当年度已安排年休假天数。</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p>
          <w:p>
            <w:pPr>
              <w:spacing w:line="280" w:lineRule="exact"/>
              <w:jc w:val="center"/>
              <w:rPr>
                <w:szCs w:val="21"/>
              </w:rPr>
            </w:pPr>
            <w:r>
              <w:rPr>
                <w:rFonts w:hint="eastAsia"/>
                <w:szCs w:val="21"/>
              </w:rPr>
              <w:t>区劳动人事争议调处中心 85850209</w:t>
            </w:r>
          </w:p>
          <w:p>
            <w:pPr>
              <w:spacing w:line="280" w:lineRule="exact"/>
              <w:jc w:val="center"/>
              <w:rPr>
                <w:szCs w:val="21"/>
              </w:rPr>
            </w:pP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10</w:t>
            </w:r>
          </w:p>
        </w:tc>
        <w:tc>
          <w:tcPr>
            <w:tcW w:w="1773"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对怀孕7 个月以上的女职工以及哺乳未满1 周岁婴儿的女职工， 用人单位不得延长工作时间和安排夜班劳动</w:t>
            </w:r>
          </w:p>
        </w:tc>
        <w:tc>
          <w:tcPr>
            <w:tcW w:w="230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安排怀孕7 个月以上的女职工或者安排女职工在哺乳未满1周岁的婴儿期间夜班劳动或者延长其劳动时间。</w:t>
            </w:r>
          </w:p>
        </w:tc>
        <w:tc>
          <w:tcPr>
            <w:tcW w:w="433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r>
              <w:rPr>
                <w:rFonts w:hint="eastAsia"/>
                <w:szCs w:val="21"/>
              </w:rPr>
              <w:t>【法律】《中华人民共和国劳动法》（2018修正）</w:t>
            </w:r>
          </w:p>
          <w:p>
            <w:pPr>
              <w:spacing w:line="280" w:lineRule="exact"/>
              <w:jc w:val="center"/>
              <w:rPr>
                <w:szCs w:val="21"/>
              </w:rPr>
            </w:pPr>
            <w:r>
              <w:rPr>
                <w:rFonts w:hint="eastAsia"/>
                <w:szCs w:val="21"/>
              </w:rPr>
              <w:t>第六十一条 不得安排女职工在怀孕期间从事国家规定的第三级体力劳动强度的劳动和孕期禁忌从事的劳动。对怀孕7个月以上的女职工，不得安排其延长工作时间和夜班劳动。</w:t>
            </w:r>
          </w:p>
          <w:p>
            <w:pPr>
              <w:spacing w:line="280" w:lineRule="exact"/>
              <w:jc w:val="center"/>
              <w:rPr>
                <w:szCs w:val="21"/>
              </w:rPr>
            </w:pPr>
            <w:r>
              <w:rPr>
                <w:rFonts w:hint="eastAsia"/>
                <w:szCs w:val="21"/>
              </w:rPr>
              <w:t>【行政法规】《女职工劳动保护特别规定》</w:t>
            </w:r>
          </w:p>
          <w:p>
            <w:pPr>
              <w:spacing w:line="280" w:lineRule="exact"/>
              <w:jc w:val="center"/>
              <w:rPr>
                <w:szCs w:val="21"/>
              </w:rPr>
            </w:pPr>
            <w:r>
              <w:rPr>
                <w:rFonts w:hint="eastAsia"/>
                <w:szCs w:val="21"/>
              </w:rPr>
              <w:t>第六条第二款 对怀孕7个月以上的女职工，用人单位不得延长劳动时间或者安排夜班劳动，并应当在劳动时间内安排一定的休息时间。</w:t>
            </w:r>
          </w:p>
          <w:p>
            <w:pPr>
              <w:spacing w:line="280" w:lineRule="exact"/>
              <w:jc w:val="center"/>
              <w:rPr>
                <w:szCs w:val="21"/>
              </w:rPr>
            </w:pPr>
            <w:r>
              <w:rPr>
                <w:rFonts w:hint="eastAsia"/>
                <w:szCs w:val="21"/>
              </w:rPr>
              <w:t>第九条第一款 对哺乳未满1周岁婴儿的女职工，用人单位不得延长劳动时间或者安排夜班劳动。</w:t>
            </w:r>
          </w:p>
          <w:p>
            <w:pPr>
              <w:spacing w:line="280" w:lineRule="exact"/>
              <w:jc w:val="center"/>
              <w:rPr>
                <w:szCs w:val="21"/>
              </w:rPr>
            </w:pPr>
            <w:r>
              <w:rPr>
                <w:rFonts w:hint="eastAsia"/>
                <w:szCs w:val="21"/>
              </w:rPr>
              <w:t>第十三条第一款 用人单位违反本规定第六条第二款、第七条、第九条第一款规定的，由县级以上人民政府人力资源社会保障行政部门责令限期改正，按</w:t>
            </w:r>
          </w:p>
          <w:p>
            <w:pPr>
              <w:spacing w:line="280" w:lineRule="exact"/>
              <w:jc w:val="center"/>
              <w:rPr>
                <w:szCs w:val="21"/>
              </w:rPr>
            </w:pPr>
            <w:r>
              <w:rPr>
                <w:rFonts w:hint="eastAsia"/>
                <w:szCs w:val="21"/>
              </w:rPr>
              <w:t>照受侵害女职工每人1000元以上5000元以下的标准计算，处以罚款。</w:t>
            </w:r>
          </w:p>
        </w:tc>
        <w:tc>
          <w:tcPr>
            <w:tcW w:w="92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不安排怀孕7个月以上的女职工或是女职工在哺乳未满1周岁的婴儿期间的参与夜班劳动或者延长其劳动时间。</w:t>
            </w:r>
          </w:p>
        </w:tc>
        <w:tc>
          <w:tcPr>
            <w:tcW w:w="157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区劳动保障监察大队</w:t>
            </w:r>
          </w:p>
          <w:p>
            <w:pPr>
              <w:spacing w:line="280" w:lineRule="exact"/>
              <w:jc w:val="center"/>
              <w:rPr>
                <w:szCs w:val="21"/>
              </w:rPr>
            </w:pPr>
            <w:r>
              <w:rPr>
                <w:rFonts w:hint="eastAsia"/>
                <w:szCs w:val="21"/>
              </w:rPr>
              <w:t>85056387</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11</w:t>
            </w:r>
          </w:p>
        </w:tc>
        <w:tc>
          <w:tcPr>
            <w:tcW w:w="1773"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用人单位应依法安排女职工享受产假</w:t>
            </w:r>
          </w:p>
        </w:tc>
        <w:tc>
          <w:tcPr>
            <w:tcW w:w="230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女职工产假少于规定天数。</w:t>
            </w:r>
          </w:p>
        </w:tc>
        <w:tc>
          <w:tcPr>
            <w:tcW w:w="433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r>
              <w:rPr>
                <w:rFonts w:hint="eastAsia"/>
                <w:szCs w:val="21"/>
              </w:rPr>
              <w:t>【行政法规】《女职工劳动保护特别规定》</w:t>
            </w:r>
          </w:p>
          <w:p>
            <w:pPr>
              <w:spacing w:line="280" w:lineRule="exact"/>
              <w:jc w:val="center"/>
              <w:rPr>
                <w:szCs w:val="21"/>
              </w:rPr>
            </w:pPr>
            <w:r>
              <w:rPr>
                <w:rFonts w:hint="eastAsia"/>
                <w:szCs w:val="21"/>
              </w:rPr>
              <w:t>第七条 女职工生育享受98天产假，其中产前可以休假15天；难产的，增加产假15天；生育多胞胎的，每多生育1个婴儿，增加产假15天。</w:t>
            </w:r>
          </w:p>
          <w:p>
            <w:pPr>
              <w:spacing w:line="280" w:lineRule="exact"/>
              <w:jc w:val="center"/>
              <w:rPr>
                <w:szCs w:val="21"/>
              </w:rPr>
            </w:pPr>
            <w:r>
              <w:rPr>
                <w:rFonts w:hint="eastAsia"/>
                <w:szCs w:val="21"/>
              </w:rPr>
              <w:t>女职工怀孕未满4个月流产的，享受15天产假；怀孕满4个月流产的，享受</w:t>
            </w:r>
          </w:p>
          <w:p>
            <w:pPr>
              <w:spacing w:line="280" w:lineRule="exact"/>
              <w:jc w:val="center"/>
              <w:rPr>
                <w:szCs w:val="21"/>
              </w:rPr>
            </w:pPr>
            <w:r>
              <w:rPr>
                <w:rFonts w:hint="eastAsia"/>
                <w:szCs w:val="21"/>
              </w:rPr>
              <w:t>42天产假。</w:t>
            </w:r>
          </w:p>
          <w:p>
            <w:pPr>
              <w:spacing w:line="280" w:lineRule="exact"/>
              <w:jc w:val="center"/>
              <w:rPr>
                <w:szCs w:val="21"/>
              </w:rPr>
            </w:pPr>
            <w:r>
              <w:rPr>
                <w:rFonts w:hint="eastAsia"/>
                <w:szCs w:val="21"/>
              </w:rPr>
              <w:t>第十三条第一款 用人单位违反本规定第六条第二款、第七条、第九条第一款规定的，由县级以上人民政府人力资源社会保障行政部门责令限期改正，按照受侵害女职工每人1000元以上5000元以下的标准计算，处以罚款。</w:t>
            </w:r>
          </w:p>
        </w:tc>
        <w:tc>
          <w:tcPr>
            <w:tcW w:w="92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r>
              <w:rPr>
                <w:rFonts w:hint="eastAsia"/>
                <w:szCs w:val="21"/>
              </w:rPr>
              <w:t>女职工生育享受98天产假， 其中产前可以休假15天；难产的， 增加产假15天；生育多胞胎的，每多生育1个婴儿，增加产假15天。自2016年1月1日起，符合《江苏省人口与计划生育条例》规定生育子女的夫妻，女方在享受国家规定产假的基础上，延长产假三十天。</w:t>
            </w:r>
          </w:p>
          <w:p>
            <w:pPr>
              <w:spacing w:line="280" w:lineRule="exact"/>
              <w:jc w:val="center"/>
              <w:rPr>
                <w:szCs w:val="21"/>
              </w:rPr>
            </w:pPr>
            <w:r>
              <w:rPr>
                <w:rFonts w:hint="eastAsia"/>
                <w:szCs w:val="21"/>
              </w:rPr>
              <w:t>怀孕女职工确因身体原因保胎休息的，可凭医院出具的休息证</w:t>
            </w:r>
          </w:p>
          <w:p>
            <w:pPr>
              <w:spacing w:line="280" w:lineRule="exact"/>
              <w:jc w:val="center"/>
              <w:rPr>
                <w:szCs w:val="21"/>
              </w:rPr>
            </w:pPr>
            <w:r>
              <w:rPr>
                <w:rFonts w:hint="eastAsia"/>
                <w:szCs w:val="21"/>
              </w:rPr>
              <w:t>明按病假处理。</w:t>
            </w:r>
          </w:p>
        </w:tc>
        <w:tc>
          <w:tcPr>
            <w:tcW w:w="157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r>
              <w:rPr>
                <w:rFonts w:hint="eastAsia"/>
                <w:szCs w:val="21"/>
              </w:rPr>
              <w:t>区劳动保障监察大队</w:t>
            </w:r>
          </w:p>
          <w:p>
            <w:pPr>
              <w:spacing w:line="280" w:lineRule="exact"/>
              <w:jc w:val="center"/>
              <w:rPr>
                <w:szCs w:val="21"/>
              </w:rPr>
            </w:pPr>
            <w:r>
              <w:rPr>
                <w:rFonts w:hint="eastAsia"/>
                <w:szCs w:val="21"/>
              </w:rPr>
              <w:t>85056387</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12</w:t>
            </w:r>
          </w:p>
        </w:tc>
        <w:tc>
          <w:tcPr>
            <w:tcW w:w="1773"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用人单位应依法与符合条件的劳动者订立无固定期限劳动合同</w:t>
            </w:r>
          </w:p>
        </w:tc>
        <w:tc>
          <w:tcPr>
            <w:tcW w:w="230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违反规定不与劳动者订立无固定期限劳动合同且未按规定每月支付二倍的工资。</w:t>
            </w:r>
          </w:p>
        </w:tc>
        <w:tc>
          <w:tcPr>
            <w:tcW w:w="433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r>
              <w:rPr>
                <w:rFonts w:hint="eastAsia"/>
                <w:szCs w:val="21"/>
              </w:rPr>
              <w:t>【法律】《中华人民共和国劳动合同法》（2012修正）</w:t>
            </w:r>
          </w:p>
          <w:p>
            <w:pPr>
              <w:spacing w:line="280" w:lineRule="exact"/>
              <w:jc w:val="center"/>
              <w:rPr>
                <w:szCs w:val="21"/>
              </w:rPr>
            </w:pPr>
            <w:r>
              <w:rPr>
                <w:rFonts w:hint="eastAsia"/>
                <w:szCs w:val="21"/>
              </w:rPr>
              <w:t>第十四条第二款 用人单位与劳动者协商一致，可以订立无固定期限劳动合同。有下列情形之一，劳动者提出或者同意续订、订立劳动合同的，除劳动者提出订立固定期限劳动合同外，应当订立无固定期限劳动合同：</w:t>
            </w:r>
          </w:p>
          <w:p>
            <w:pPr>
              <w:spacing w:line="280" w:lineRule="exact"/>
              <w:jc w:val="center"/>
              <w:rPr>
                <w:szCs w:val="21"/>
              </w:rPr>
            </w:pPr>
            <w:r>
              <w:rPr>
                <w:rFonts w:hint="eastAsia"/>
                <w:szCs w:val="21"/>
              </w:rPr>
              <w:t>（一）劳动者在该用人单位连续工作满十年的；</w:t>
            </w:r>
          </w:p>
          <w:p>
            <w:pPr>
              <w:spacing w:line="280" w:lineRule="exact"/>
              <w:jc w:val="center"/>
              <w:rPr>
                <w:szCs w:val="21"/>
              </w:rPr>
            </w:pPr>
            <w:r>
              <w:rPr>
                <w:rFonts w:hint="eastAsia"/>
                <w:szCs w:val="21"/>
              </w:rPr>
              <w:t>（二）用人单位初次实行劳动合同制度或者国有企业改制重新订立劳动合同时，劳动者在该用人单位连续工作满十年且距法定退休年龄不足十年的；</w:t>
            </w:r>
          </w:p>
          <w:p>
            <w:pPr>
              <w:spacing w:line="280" w:lineRule="exact"/>
              <w:jc w:val="center"/>
              <w:rPr>
                <w:szCs w:val="21"/>
              </w:rPr>
            </w:pPr>
            <w:r>
              <w:rPr>
                <w:rFonts w:hint="eastAsia"/>
                <w:szCs w:val="21"/>
              </w:rPr>
              <w:t>（三）连续订立二次固定期限劳动合同，且劳动者没有本法第三十九条和第四十条第一项、第二项规定的情形，续订劳动合同的。</w:t>
            </w:r>
          </w:p>
          <w:p>
            <w:pPr>
              <w:spacing w:line="280" w:lineRule="exact"/>
              <w:jc w:val="center"/>
              <w:rPr>
                <w:szCs w:val="21"/>
              </w:rPr>
            </w:pPr>
            <w:r>
              <w:rPr>
                <w:rFonts w:hint="eastAsia"/>
                <w:szCs w:val="21"/>
              </w:rPr>
              <w:t>第八十二条第二款 用人单位违反本法规定不与劳动者订立无固定期限劳动合同的，自应当订立无固定期限劳动合同之日起向劳动者每月支付二倍的工资。</w:t>
            </w:r>
          </w:p>
          <w:p>
            <w:pPr>
              <w:spacing w:line="280" w:lineRule="exact"/>
              <w:jc w:val="center"/>
              <w:rPr>
                <w:szCs w:val="21"/>
              </w:rPr>
            </w:pPr>
            <w:r>
              <w:rPr>
                <w:rFonts w:hint="eastAsia"/>
                <w:szCs w:val="21"/>
              </w:rPr>
              <w:t>【行政法规】《中华人民共和国劳动合同法实施条例》</w:t>
            </w:r>
          </w:p>
          <w:p>
            <w:pPr>
              <w:spacing w:line="280" w:lineRule="exact"/>
              <w:jc w:val="center"/>
              <w:rPr>
                <w:szCs w:val="21"/>
              </w:rPr>
            </w:pPr>
            <w:r>
              <w:rPr>
                <w:rFonts w:hint="eastAsia"/>
                <w:szCs w:val="21"/>
              </w:rPr>
              <w:t>第三十四条 用人单位依照劳动合同法的规定应当向劳动者每月支付两倍的工资或者应当向劳动者支付赔偿金而未支付的，劳动行政部门应当责令用人单位支付。</w:t>
            </w:r>
          </w:p>
        </w:tc>
        <w:tc>
          <w:tcPr>
            <w:tcW w:w="92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r>
              <w:rPr>
                <w:rFonts w:hint="eastAsia"/>
                <w:szCs w:val="21"/>
              </w:rPr>
              <w:t>1.有下列情形之一，劳动者提出或者同意续订、订立劳动合同的， 除劳动者提出订立固定期限劳动合同外，应当订立无固定期限劳动合同：</w:t>
            </w:r>
          </w:p>
          <w:p>
            <w:pPr>
              <w:spacing w:line="280" w:lineRule="exact"/>
              <w:jc w:val="center"/>
              <w:rPr>
                <w:szCs w:val="21"/>
              </w:rPr>
            </w:pPr>
            <w:r>
              <w:rPr>
                <w:rFonts w:hint="eastAsia"/>
                <w:szCs w:val="21"/>
              </w:rPr>
              <w:t>劳动者在该用人单位连续工作满十年的；</w:t>
            </w:r>
          </w:p>
          <w:p>
            <w:pPr>
              <w:spacing w:line="280" w:lineRule="exact"/>
              <w:jc w:val="center"/>
              <w:rPr>
                <w:szCs w:val="21"/>
              </w:rPr>
            </w:pPr>
            <w:r>
              <w:rPr>
                <w:rFonts w:hint="eastAsia"/>
                <w:szCs w:val="21"/>
              </w:rPr>
              <w:t>用人单位初次实行劳动合同制度或者国有企业改制重新订立劳动合同时，劳动者在该用人单位连续工作满十年且距法定退休年龄不足十年的；</w:t>
            </w:r>
          </w:p>
          <w:p>
            <w:pPr>
              <w:spacing w:line="280" w:lineRule="exact"/>
              <w:jc w:val="center"/>
              <w:rPr>
                <w:szCs w:val="21"/>
              </w:rPr>
            </w:pPr>
            <w:r>
              <w:rPr>
                <w:rFonts w:hint="eastAsia"/>
                <w:szCs w:val="21"/>
              </w:rPr>
              <w:t>连续订立二次固定期限劳动合同，且劳动者没有本法第三十九条和第四十条第一项、第二项规定的情形，续订劳动合同的。</w:t>
            </w:r>
          </w:p>
          <w:p>
            <w:pPr>
              <w:spacing w:line="280" w:lineRule="exact"/>
              <w:jc w:val="center"/>
              <w:rPr>
                <w:szCs w:val="21"/>
              </w:rPr>
            </w:pPr>
            <w:r>
              <w:rPr>
                <w:rFonts w:hint="eastAsia"/>
                <w:szCs w:val="21"/>
              </w:rPr>
              <w:t>2.对于符合订立无固定期限劳动合同条件的人员，用人单位不得单方终止劳动合同或提出订立固定</w:t>
            </w:r>
          </w:p>
          <w:p>
            <w:pPr>
              <w:spacing w:line="280" w:lineRule="exact"/>
              <w:jc w:val="center"/>
              <w:rPr>
                <w:szCs w:val="21"/>
              </w:rPr>
            </w:pPr>
            <w:r>
              <w:rPr>
                <w:rFonts w:hint="eastAsia"/>
                <w:szCs w:val="21"/>
              </w:rPr>
              <w:t>期限劳动合同。</w:t>
            </w:r>
          </w:p>
        </w:tc>
        <w:tc>
          <w:tcPr>
            <w:tcW w:w="157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区劳动人事争议调处中心 85850209</w:t>
            </w:r>
          </w:p>
          <w:p>
            <w:pPr>
              <w:spacing w:line="280" w:lineRule="exact"/>
              <w:jc w:val="center"/>
              <w:rPr>
                <w:szCs w:val="21"/>
              </w:rPr>
            </w:pP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13</w:t>
            </w:r>
          </w:p>
        </w:tc>
        <w:tc>
          <w:tcPr>
            <w:tcW w:w="1773"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用人单位应当依照法定事由、遵循法定程序，依法与劳动者解除或者终止劳动合同</w:t>
            </w:r>
          </w:p>
        </w:tc>
        <w:tc>
          <w:tcPr>
            <w:tcW w:w="230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违法解除或者终止劳动合同（劳动关系）且未按规定支付赔偿金。</w:t>
            </w:r>
          </w:p>
        </w:tc>
        <w:tc>
          <w:tcPr>
            <w:tcW w:w="433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【法律】《中华人民共和国劳动合同法》（2012修正）</w:t>
            </w:r>
          </w:p>
          <w:p>
            <w:pPr>
              <w:spacing w:line="280" w:lineRule="exact"/>
              <w:jc w:val="center"/>
              <w:rPr>
                <w:szCs w:val="21"/>
              </w:rPr>
            </w:pPr>
            <w:r>
              <w:rPr>
                <w:rFonts w:hint="eastAsia"/>
                <w:szCs w:val="21"/>
              </w:rPr>
              <w:t>第四十八条 用人单位违反本法规定解除或者终止劳动合同，劳动者要求继续履行劳动合同的，用人单位应当继续履行；劳动者不要求继续履行劳动合同或者劳动合同已经不能继续履行的，用人单位应当依照本法第八十七条规定支付赔偿金。</w:t>
            </w:r>
          </w:p>
          <w:p>
            <w:pPr>
              <w:spacing w:line="280" w:lineRule="exact"/>
              <w:jc w:val="center"/>
              <w:rPr>
                <w:szCs w:val="21"/>
              </w:rPr>
            </w:pPr>
            <w:r>
              <w:rPr>
                <w:rFonts w:hint="eastAsia"/>
                <w:szCs w:val="21"/>
              </w:rPr>
              <w:t>第八十七条 用人单位违反本法规定解除或者终止劳动合同的，应当依照本法第四十七条规定的经济补偿标准的二倍向劳动者支付赔偿金。</w:t>
            </w:r>
          </w:p>
          <w:p>
            <w:pPr>
              <w:spacing w:line="280" w:lineRule="exact"/>
              <w:jc w:val="center"/>
              <w:rPr>
                <w:szCs w:val="21"/>
              </w:rPr>
            </w:pPr>
            <w:r>
              <w:rPr>
                <w:rFonts w:hint="eastAsia"/>
                <w:szCs w:val="21"/>
              </w:rPr>
              <w:t>【地方性法规】《江苏省劳动合同条例》（2013修订）</w:t>
            </w:r>
          </w:p>
          <w:p>
            <w:pPr>
              <w:spacing w:line="280" w:lineRule="exact"/>
              <w:jc w:val="center"/>
              <w:rPr>
                <w:szCs w:val="21"/>
              </w:rPr>
            </w:pPr>
            <w:r>
              <w:rPr>
                <w:rFonts w:hint="eastAsia"/>
                <w:szCs w:val="21"/>
              </w:rPr>
              <w:t>第五十二条第三款 用人单位拒绝与劳动者补订书面劳动合同并解除劳动关系的，还应当按照经济补偿标准的二倍向劳动者支付赔偿金。</w:t>
            </w:r>
          </w:p>
          <w:p>
            <w:pPr>
              <w:spacing w:line="280" w:lineRule="exact"/>
              <w:jc w:val="center"/>
              <w:rPr>
                <w:szCs w:val="21"/>
              </w:rPr>
            </w:pPr>
            <w:r>
              <w:rPr>
                <w:rFonts w:hint="eastAsia"/>
                <w:szCs w:val="21"/>
              </w:rPr>
              <w:t>【行政法规】《中华人民共和国劳动合同法实施条例》</w:t>
            </w:r>
          </w:p>
          <w:p>
            <w:pPr>
              <w:spacing w:line="280" w:lineRule="exact"/>
              <w:jc w:val="center"/>
              <w:rPr>
                <w:szCs w:val="21"/>
              </w:rPr>
            </w:pPr>
            <w:r>
              <w:rPr>
                <w:rFonts w:hint="eastAsia"/>
                <w:szCs w:val="21"/>
              </w:rPr>
              <w:t>第三十四条 用人单位依照劳动合同法的规定应当向劳动者每月支付两倍的工资或者应当向劳动者支付赔偿金而未支付的，劳动行政部门应当责令用人单位支付。</w:t>
            </w:r>
          </w:p>
        </w:tc>
        <w:tc>
          <w:tcPr>
            <w:tcW w:w="92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合法解除（终止）情形参见</w:t>
            </w:r>
          </w:p>
          <w:p>
            <w:pPr>
              <w:spacing w:line="280" w:lineRule="exact"/>
              <w:jc w:val="center"/>
              <w:rPr>
                <w:szCs w:val="21"/>
              </w:rPr>
            </w:pPr>
            <w:r>
              <w:rPr>
                <w:rFonts w:hint="eastAsia"/>
                <w:szCs w:val="21"/>
              </w:rPr>
              <w:t>《劳动合同法》第三十六条至第四十五条。</w:t>
            </w:r>
          </w:p>
          <w:p>
            <w:pPr>
              <w:spacing w:line="280" w:lineRule="exact"/>
              <w:jc w:val="center"/>
              <w:rPr>
                <w:szCs w:val="21"/>
              </w:rPr>
            </w:pPr>
            <w:r>
              <w:rPr>
                <w:rFonts w:hint="eastAsia"/>
                <w:szCs w:val="21"/>
              </w:rPr>
              <w:t>用人单位违反本法规定解除或者终止劳动合同，劳动者要求继续履行劳动合同的，用人单位应当继续履行；劳动者不要求继续履行劳动合同或者劳动合同已经不能继续履行的，用人单位应当依照经济补偿金的二倍标准支付赔偿金。</w:t>
            </w:r>
          </w:p>
          <w:p>
            <w:pPr>
              <w:spacing w:line="280" w:lineRule="exact"/>
              <w:jc w:val="center"/>
              <w:rPr>
                <w:szCs w:val="21"/>
              </w:rPr>
            </w:pPr>
            <w:r>
              <w:rPr>
                <w:rFonts w:hint="eastAsia"/>
                <w:szCs w:val="21"/>
              </w:rPr>
              <w:t>与劳动者解除或终止劳动关系，应当具备法定事由，遵循法定程序（如：单方解除情形下的通知工会义务）。</w:t>
            </w:r>
          </w:p>
          <w:p>
            <w:pPr>
              <w:spacing w:line="280" w:lineRule="exact"/>
              <w:jc w:val="center"/>
              <w:rPr>
                <w:szCs w:val="21"/>
              </w:rPr>
            </w:pPr>
            <w:r>
              <w:rPr>
                <w:rFonts w:hint="eastAsia"/>
                <w:szCs w:val="21"/>
              </w:rPr>
              <w:t>建议用人单位依照《劳动合同法》第四条规定，制定规章制度并告知劳动者，对严重违反规章制度等违纪违规情形作出具体规定； 并在处理违纪违规职工时，注意留存相关事实的证据。</w:t>
            </w:r>
          </w:p>
        </w:tc>
        <w:tc>
          <w:tcPr>
            <w:tcW w:w="157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区劳动人事争议调处中心 85850209</w:t>
            </w:r>
          </w:p>
          <w:p>
            <w:pPr>
              <w:spacing w:line="280" w:lineRule="exact"/>
              <w:jc w:val="center"/>
              <w:rPr>
                <w:szCs w:val="21"/>
              </w:rPr>
            </w:pPr>
          </w:p>
          <w:p>
            <w:pPr>
              <w:spacing w:line="280" w:lineRule="exact"/>
              <w:jc w:val="center"/>
              <w:rPr>
                <w:szCs w:val="21"/>
              </w:rPr>
            </w:pPr>
          </w:p>
          <w:p>
            <w:pPr>
              <w:spacing w:line="280" w:lineRule="exact"/>
              <w:jc w:val="center"/>
              <w:rPr>
                <w:szCs w:val="21"/>
              </w:rPr>
            </w:pP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14</w:t>
            </w:r>
          </w:p>
        </w:tc>
        <w:tc>
          <w:tcPr>
            <w:tcW w:w="1773"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用人单位应当在解除或者终止劳动合同时出具解除或者终止劳动合同的证明</w:t>
            </w:r>
          </w:p>
        </w:tc>
        <w:tc>
          <w:tcPr>
            <w:tcW w:w="230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违反规定未向劳动者出具解除或者终止劳动合同的书面证明。</w:t>
            </w:r>
          </w:p>
        </w:tc>
        <w:tc>
          <w:tcPr>
            <w:tcW w:w="433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【法律】《中华人民共和国劳动合同法》（2012修正）</w:t>
            </w:r>
          </w:p>
          <w:p>
            <w:pPr>
              <w:spacing w:line="280" w:lineRule="exact"/>
              <w:jc w:val="center"/>
              <w:rPr>
                <w:szCs w:val="21"/>
              </w:rPr>
            </w:pPr>
            <w:r>
              <w:rPr>
                <w:rFonts w:hint="eastAsia"/>
                <w:szCs w:val="21"/>
              </w:rPr>
              <w:t>第五十条第一款 用人单位应当在解除或者终止劳动合同时出具解除或者终止劳动合同的证明，并在十五日内为劳动者办理档案和社会保险关系转移手续。</w:t>
            </w:r>
          </w:p>
          <w:p>
            <w:pPr>
              <w:spacing w:line="280" w:lineRule="exact"/>
              <w:jc w:val="center"/>
              <w:rPr>
                <w:szCs w:val="21"/>
              </w:rPr>
            </w:pPr>
            <w:r>
              <w:rPr>
                <w:rFonts w:hint="eastAsia"/>
                <w:szCs w:val="21"/>
              </w:rPr>
              <w:t>第八十九条 用人单位违反本法规定未向劳动者出具解除或者终止劳动合同的书面证明，由劳动行政部门责令改正；给劳动者造成损害的，应当承担赔偿责任。</w:t>
            </w:r>
          </w:p>
        </w:tc>
        <w:tc>
          <w:tcPr>
            <w:tcW w:w="92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解除（终止）证明一般应列明劳动者基本信息、工作岗位、劳动合同期限等信息。</w:t>
            </w:r>
          </w:p>
        </w:tc>
        <w:tc>
          <w:tcPr>
            <w:tcW w:w="157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区劳动保障监察大队</w:t>
            </w:r>
          </w:p>
          <w:p>
            <w:pPr>
              <w:spacing w:line="280" w:lineRule="exact"/>
              <w:jc w:val="center"/>
              <w:rPr>
                <w:szCs w:val="21"/>
              </w:rPr>
            </w:pPr>
            <w:r>
              <w:rPr>
                <w:rFonts w:hint="eastAsia"/>
                <w:szCs w:val="21"/>
              </w:rPr>
              <w:t>85056387</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15</w:t>
            </w:r>
          </w:p>
        </w:tc>
        <w:tc>
          <w:tcPr>
            <w:tcW w:w="1773"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用人单位应依法向符合条件的劳动者支付解除或者终止劳动合同的经济补偿金</w:t>
            </w:r>
          </w:p>
        </w:tc>
        <w:tc>
          <w:tcPr>
            <w:tcW w:w="230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解除或者终止劳动合同</w:t>
            </w:r>
          </w:p>
          <w:p>
            <w:pPr>
              <w:spacing w:line="280" w:lineRule="exact"/>
              <w:jc w:val="center"/>
              <w:rPr>
                <w:szCs w:val="21"/>
              </w:rPr>
            </w:pPr>
            <w:r>
              <w:rPr>
                <w:rFonts w:hint="eastAsia"/>
                <w:szCs w:val="21"/>
              </w:rPr>
              <w:t>（劳动关系），未按照规定向劳动者支付经济补偿。</w:t>
            </w:r>
          </w:p>
        </w:tc>
        <w:tc>
          <w:tcPr>
            <w:tcW w:w="433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【法律】《中华人民共和国劳动合同法》（2012修正）</w:t>
            </w:r>
          </w:p>
          <w:p>
            <w:pPr>
              <w:spacing w:line="280" w:lineRule="exact"/>
              <w:jc w:val="center"/>
              <w:rPr>
                <w:szCs w:val="21"/>
              </w:rPr>
            </w:pPr>
            <w:r>
              <w:rPr>
                <w:rFonts w:hint="eastAsia"/>
                <w:szCs w:val="21"/>
              </w:rPr>
              <w:t>第四十六条 有下列情形之一的，用人单位应当向劳动者支付经济补偿：</w:t>
            </w:r>
          </w:p>
          <w:p>
            <w:pPr>
              <w:spacing w:line="280" w:lineRule="exact"/>
              <w:jc w:val="center"/>
              <w:rPr>
                <w:szCs w:val="21"/>
              </w:rPr>
            </w:pPr>
            <w:r>
              <w:rPr>
                <w:rFonts w:hint="eastAsia"/>
                <w:szCs w:val="21"/>
              </w:rPr>
              <w:t>（一）劳动者依照本法第三十八条规定解除劳动合同的；</w:t>
            </w:r>
          </w:p>
          <w:p>
            <w:pPr>
              <w:spacing w:line="280" w:lineRule="exact"/>
              <w:jc w:val="center"/>
              <w:rPr>
                <w:szCs w:val="21"/>
              </w:rPr>
            </w:pPr>
            <w:r>
              <w:rPr>
                <w:rFonts w:hint="eastAsia"/>
                <w:szCs w:val="21"/>
              </w:rPr>
              <w:t>（二）用人单位依照本法第三十六条规定向劳动者提出解除劳动合同并与劳动者协商一致解除劳动合同的；</w:t>
            </w:r>
          </w:p>
          <w:p>
            <w:pPr>
              <w:spacing w:line="280" w:lineRule="exact"/>
              <w:jc w:val="center"/>
              <w:rPr>
                <w:szCs w:val="21"/>
              </w:rPr>
            </w:pPr>
            <w:r>
              <w:rPr>
                <w:rFonts w:hint="eastAsia"/>
                <w:szCs w:val="21"/>
              </w:rPr>
              <w:t>（三）用人单位依照本法第四十条规定解除劳动合同的；</w:t>
            </w:r>
          </w:p>
          <w:p>
            <w:pPr>
              <w:spacing w:line="280" w:lineRule="exact"/>
              <w:jc w:val="center"/>
              <w:rPr>
                <w:szCs w:val="21"/>
              </w:rPr>
            </w:pPr>
            <w:r>
              <w:rPr>
                <w:rFonts w:hint="eastAsia"/>
                <w:szCs w:val="21"/>
              </w:rPr>
              <w:t>（四）用人单位依照本法第四十一条第一款规定解除劳动合同的；</w:t>
            </w:r>
          </w:p>
          <w:p>
            <w:pPr>
              <w:spacing w:line="280" w:lineRule="exact"/>
              <w:jc w:val="center"/>
              <w:rPr>
                <w:szCs w:val="21"/>
              </w:rPr>
            </w:pPr>
            <w:r>
              <w:rPr>
                <w:rFonts w:hint="eastAsia"/>
                <w:szCs w:val="21"/>
              </w:rPr>
              <w:t>（五）除用人单位维持或者提高劳动合同约定条件续订劳动合同，劳动者不同意续订的情形外，依照本法第四十四条第一项规定终止固定期限劳动合同的；</w:t>
            </w:r>
          </w:p>
          <w:p>
            <w:pPr>
              <w:spacing w:line="280" w:lineRule="exact"/>
              <w:jc w:val="center"/>
              <w:rPr>
                <w:szCs w:val="21"/>
              </w:rPr>
            </w:pPr>
            <w:r>
              <w:rPr>
                <w:rFonts w:hint="eastAsia"/>
                <w:szCs w:val="21"/>
              </w:rPr>
              <w:t>（六）依照本法第四十四条第四项、第五项规定终止劳动合同的；</w:t>
            </w:r>
          </w:p>
          <w:p>
            <w:pPr>
              <w:spacing w:line="280" w:lineRule="exact"/>
              <w:jc w:val="center"/>
              <w:rPr>
                <w:szCs w:val="21"/>
              </w:rPr>
            </w:pPr>
            <w:r>
              <w:rPr>
                <w:rFonts w:hint="eastAsia"/>
                <w:szCs w:val="21"/>
              </w:rPr>
              <w:t>（七）法律、行政法规规定的其他情形。</w:t>
            </w:r>
          </w:p>
          <w:p>
            <w:pPr>
              <w:spacing w:line="280" w:lineRule="exact"/>
              <w:jc w:val="center"/>
              <w:rPr>
                <w:szCs w:val="21"/>
              </w:rPr>
            </w:pPr>
            <w:r>
              <w:rPr>
                <w:rFonts w:hint="eastAsia"/>
                <w:szCs w:val="21"/>
              </w:rPr>
              <w:t>第四十七条  经济补偿按劳动者在本单位工作的年限，每满一年支付一个月工资的标准向劳动者支付。六个月以上不满一年的，按一年计算；不满六个月的， 向劳动者支付半个月工资的经济补偿。</w:t>
            </w:r>
          </w:p>
          <w:p>
            <w:pPr>
              <w:spacing w:line="280" w:lineRule="exact"/>
              <w:jc w:val="center"/>
              <w:rPr>
                <w:szCs w:val="21"/>
              </w:rPr>
            </w:pPr>
            <w:r>
              <w:rPr>
                <w:rFonts w:hint="eastAsia"/>
                <w:szCs w:val="21"/>
              </w:rPr>
              <w:t>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spacing w:line="280" w:lineRule="exact"/>
              <w:jc w:val="center"/>
              <w:rPr>
                <w:szCs w:val="21"/>
              </w:rPr>
            </w:pPr>
            <w:r>
              <w:rPr>
                <w:rFonts w:hint="eastAsia"/>
                <w:szCs w:val="21"/>
              </w:rPr>
              <w:t>本条所称月工资是指劳动者在劳动合同解除或者终止前十二个月的平均工资。</w:t>
            </w:r>
          </w:p>
          <w:p>
            <w:pPr>
              <w:spacing w:line="280" w:lineRule="exact"/>
              <w:jc w:val="center"/>
              <w:rPr>
                <w:szCs w:val="21"/>
              </w:rPr>
            </w:pPr>
            <w:r>
              <w:rPr>
                <w:rFonts w:hint="eastAsia"/>
                <w:szCs w:val="21"/>
              </w:rPr>
              <w:t>第八十五条第（四）项 用人单位有下列情形之一的，由劳动行政部门责令限期支付劳动报酬、加班费或者经济补偿；劳动报酬低于当地最低工资标准的， 应当支付其差额部分；逾期不支付的，责令用人单位按应付金额百分之五十以上百分之一百以下的标准向劳动者加付赔偿金：</w:t>
            </w:r>
          </w:p>
          <w:p>
            <w:pPr>
              <w:spacing w:line="280" w:lineRule="exact"/>
              <w:jc w:val="center"/>
              <w:rPr>
                <w:szCs w:val="21"/>
              </w:rPr>
            </w:pPr>
            <w:r>
              <w:rPr>
                <w:rFonts w:hint="eastAsia"/>
                <w:szCs w:val="21"/>
              </w:rPr>
              <w:t>（四）解除或者终止劳动合同，未依照本法规定向劳动者支付经济补偿的。</w:t>
            </w:r>
          </w:p>
        </w:tc>
        <w:tc>
          <w:tcPr>
            <w:tcW w:w="92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1.有下列情形之一的，用人单位应当向劳动者支付经济补偿：</w:t>
            </w:r>
          </w:p>
          <w:p>
            <w:pPr>
              <w:spacing w:line="280" w:lineRule="exact"/>
              <w:jc w:val="center"/>
              <w:rPr>
                <w:szCs w:val="21"/>
              </w:rPr>
            </w:pPr>
            <w:r>
              <w:rPr>
                <w:rFonts w:hint="eastAsia"/>
                <w:szCs w:val="21"/>
              </w:rPr>
              <w:t>劳动者依照《劳动合同法》第三十八条规定解除劳动合同的；</w:t>
            </w:r>
          </w:p>
          <w:p>
            <w:pPr>
              <w:spacing w:line="280" w:lineRule="exact"/>
              <w:jc w:val="center"/>
              <w:rPr>
                <w:szCs w:val="21"/>
              </w:rPr>
            </w:pPr>
            <w:r>
              <w:rPr>
                <w:rFonts w:hint="eastAsia"/>
                <w:szCs w:val="21"/>
              </w:rPr>
              <w:t>用人单位依照《劳动合同法》第三十六条规定向劳动者提出解除劳动合同并与劳动者协商一致解除劳动合同的；</w:t>
            </w:r>
          </w:p>
          <w:p>
            <w:pPr>
              <w:spacing w:line="280" w:lineRule="exact"/>
              <w:jc w:val="center"/>
              <w:rPr>
                <w:szCs w:val="21"/>
              </w:rPr>
            </w:pPr>
            <w:r>
              <w:rPr>
                <w:rFonts w:hint="eastAsia"/>
                <w:szCs w:val="21"/>
              </w:rPr>
              <w:t>用人单位依照《劳动合同法》第四十条规定解除劳动合同的；</w:t>
            </w:r>
          </w:p>
          <w:p>
            <w:pPr>
              <w:spacing w:line="280" w:lineRule="exact"/>
              <w:jc w:val="center"/>
              <w:rPr>
                <w:szCs w:val="21"/>
              </w:rPr>
            </w:pPr>
            <w:r>
              <w:rPr>
                <w:rFonts w:hint="eastAsia"/>
                <w:szCs w:val="21"/>
              </w:rPr>
              <w:t>用人单位依照《劳动合同法》第四十一条第一款规定解除劳动合同的；</w:t>
            </w:r>
          </w:p>
          <w:p>
            <w:pPr>
              <w:spacing w:line="280" w:lineRule="exact"/>
              <w:jc w:val="center"/>
              <w:rPr>
                <w:szCs w:val="21"/>
              </w:rPr>
            </w:pPr>
            <w:r>
              <w:rPr>
                <w:rFonts w:hint="eastAsia"/>
                <w:szCs w:val="21"/>
              </w:rPr>
              <w:t>除用人单位维持或者提高劳动合同约定条件续订劳动合同，劳动者不同意续订的情形外，依照</w:t>
            </w:r>
          </w:p>
          <w:p>
            <w:pPr>
              <w:spacing w:line="280" w:lineRule="exact"/>
              <w:jc w:val="center"/>
              <w:rPr>
                <w:szCs w:val="21"/>
              </w:rPr>
            </w:pPr>
            <w:r>
              <w:rPr>
                <w:rFonts w:hint="eastAsia"/>
                <w:szCs w:val="21"/>
              </w:rPr>
              <w:t>《劳动合同法》第四十四条第一项规定终止固定期限劳动合同的；</w:t>
            </w:r>
          </w:p>
          <w:p>
            <w:pPr>
              <w:spacing w:line="280" w:lineRule="exact"/>
              <w:jc w:val="center"/>
              <w:rPr>
                <w:szCs w:val="21"/>
              </w:rPr>
            </w:pPr>
            <w:r>
              <w:rPr>
                <w:rFonts w:hint="eastAsia"/>
                <w:szCs w:val="21"/>
              </w:rPr>
              <w:t>依照《劳动合同法》第四十四条第四项、第五项规定终止劳动合同的；</w:t>
            </w:r>
          </w:p>
          <w:p>
            <w:pPr>
              <w:spacing w:line="280" w:lineRule="exact"/>
              <w:jc w:val="center"/>
              <w:rPr>
                <w:szCs w:val="21"/>
              </w:rPr>
            </w:pPr>
            <w:r>
              <w:rPr>
                <w:rFonts w:hint="eastAsia"/>
                <w:szCs w:val="21"/>
              </w:rPr>
              <w:t>法律、行政法规规定的其他情形。</w:t>
            </w:r>
          </w:p>
          <w:p>
            <w:pPr>
              <w:spacing w:line="280" w:lineRule="exact"/>
              <w:jc w:val="center"/>
              <w:rPr>
                <w:szCs w:val="21"/>
              </w:rPr>
            </w:pPr>
            <w:r>
              <w:rPr>
                <w:rFonts w:hint="eastAsia"/>
                <w:szCs w:val="21"/>
              </w:rPr>
              <w:t>经济补偿应当按照劳动者在本单位工作年限，每满一年支付一个月工资的标准向劳动者支付。六个月以上不满一年的，按一年计算； 不满六个月的，向劳动者支付半个月工资的经济补偿。</w:t>
            </w:r>
          </w:p>
          <w:p>
            <w:pPr>
              <w:spacing w:line="280" w:lineRule="exact"/>
              <w:jc w:val="center"/>
              <w:rPr>
                <w:szCs w:val="21"/>
              </w:rPr>
            </w:pPr>
            <w:r>
              <w:rPr>
                <w:rFonts w:hint="eastAsia"/>
                <w:szCs w:val="21"/>
              </w:rPr>
              <w:t>依法应当向劳动者支付经济补偿的，应在办结工作交接时支付。</w:t>
            </w:r>
          </w:p>
        </w:tc>
        <w:tc>
          <w:tcPr>
            <w:tcW w:w="157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区劳动人事争议调处中心 85850209</w:t>
            </w:r>
          </w:p>
          <w:p>
            <w:pPr>
              <w:spacing w:line="280" w:lineRule="exact"/>
              <w:jc w:val="center"/>
              <w:rPr>
                <w:szCs w:val="21"/>
              </w:rPr>
            </w:pP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16</w:t>
            </w:r>
          </w:p>
        </w:tc>
        <w:tc>
          <w:tcPr>
            <w:tcW w:w="1773"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用人单位应当接受并配合劳动保障监察</w:t>
            </w:r>
          </w:p>
        </w:tc>
        <w:tc>
          <w:tcPr>
            <w:tcW w:w="230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无理抗拒、阻挠劳动保障行政部门实施劳动保障监察。</w:t>
            </w:r>
          </w:p>
          <w:p>
            <w:pPr>
              <w:spacing w:line="280" w:lineRule="exact"/>
              <w:jc w:val="center"/>
              <w:rPr>
                <w:szCs w:val="21"/>
              </w:rPr>
            </w:pPr>
            <w:r>
              <w:rPr>
                <w:rFonts w:hint="eastAsia"/>
                <w:szCs w:val="21"/>
              </w:rPr>
              <w:t>未按要求报送书面材料，隐瞒事实真相，出具伪证或者隐匿、毁灭证据。</w:t>
            </w:r>
          </w:p>
          <w:p>
            <w:pPr>
              <w:spacing w:line="280" w:lineRule="exact"/>
              <w:jc w:val="center"/>
              <w:rPr>
                <w:szCs w:val="21"/>
              </w:rPr>
            </w:pPr>
            <w:r>
              <w:rPr>
                <w:rFonts w:hint="eastAsia"/>
                <w:szCs w:val="21"/>
              </w:rPr>
              <w:t>经责令改正拒不改正、拒不履行行政处理决定。</w:t>
            </w:r>
          </w:p>
        </w:tc>
        <w:tc>
          <w:tcPr>
            <w:tcW w:w="433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【行政法规】《劳动保障监察条例》</w:t>
            </w:r>
          </w:p>
          <w:p>
            <w:pPr>
              <w:spacing w:line="280" w:lineRule="exact"/>
              <w:jc w:val="center"/>
              <w:rPr>
                <w:szCs w:val="21"/>
              </w:rPr>
            </w:pPr>
            <w:r>
              <w:rPr>
                <w:rFonts w:hint="eastAsia"/>
                <w:szCs w:val="21"/>
              </w:rPr>
              <w:t>第六条 用人单位应当遵守劳动保障法律、法规和规章，接受并配合劳动保障监察。</w:t>
            </w:r>
          </w:p>
          <w:p>
            <w:pPr>
              <w:spacing w:line="280" w:lineRule="exact"/>
              <w:jc w:val="center"/>
              <w:rPr>
                <w:szCs w:val="21"/>
              </w:rPr>
            </w:pPr>
            <w:r>
              <w:rPr>
                <w:rFonts w:hint="eastAsia"/>
                <w:szCs w:val="21"/>
              </w:rPr>
              <w:t>第十五条 劳动保障行政部门实施劳动保障监察，有权采取下列调查、检查措施：</w:t>
            </w:r>
          </w:p>
          <w:p>
            <w:pPr>
              <w:spacing w:line="280" w:lineRule="exact"/>
              <w:jc w:val="center"/>
              <w:rPr>
                <w:szCs w:val="21"/>
              </w:rPr>
            </w:pPr>
            <w:r>
              <w:rPr>
                <w:rFonts w:hint="eastAsia"/>
                <w:szCs w:val="21"/>
              </w:rPr>
              <w:t>（一）进入用人单位的劳动场所进行检查；</w:t>
            </w:r>
          </w:p>
          <w:p>
            <w:pPr>
              <w:spacing w:line="280" w:lineRule="exact"/>
              <w:jc w:val="center"/>
              <w:rPr>
                <w:szCs w:val="21"/>
              </w:rPr>
            </w:pPr>
            <w:r>
              <w:rPr>
                <w:rFonts w:hint="eastAsia"/>
                <w:szCs w:val="21"/>
              </w:rPr>
              <w:t>（二）就调查、检查事项询问有关人员；</w:t>
            </w:r>
          </w:p>
          <w:p>
            <w:pPr>
              <w:spacing w:line="280" w:lineRule="exact"/>
              <w:jc w:val="center"/>
              <w:rPr>
                <w:szCs w:val="21"/>
              </w:rPr>
            </w:pPr>
            <w:r>
              <w:rPr>
                <w:rFonts w:hint="eastAsia"/>
                <w:szCs w:val="21"/>
              </w:rPr>
              <w:t>（三）要求用人单位提供与调查、检查事项相关的文件资料，并作出解释和说明，必要时可以发出调查询问书；</w:t>
            </w:r>
          </w:p>
          <w:p>
            <w:pPr>
              <w:spacing w:line="280" w:lineRule="exact"/>
              <w:jc w:val="center"/>
              <w:rPr>
                <w:szCs w:val="21"/>
              </w:rPr>
            </w:pPr>
            <w:r>
              <w:rPr>
                <w:rFonts w:hint="eastAsia"/>
                <w:szCs w:val="21"/>
              </w:rPr>
              <w:t>（四）采取记录、录音、录像、照相或者复制等方式收集有关情况和资料；</w:t>
            </w:r>
          </w:p>
          <w:p>
            <w:pPr>
              <w:spacing w:line="280" w:lineRule="exact"/>
              <w:jc w:val="center"/>
              <w:rPr>
                <w:szCs w:val="21"/>
              </w:rPr>
            </w:pPr>
            <w:r>
              <w:rPr>
                <w:rFonts w:hint="eastAsia"/>
                <w:szCs w:val="21"/>
              </w:rPr>
              <w:t>（五）委托会计师事务所对用人单位工资支付、缴纳社会保险费的情况进行审计；</w:t>
            </w:r>
          </w:p>
          <w:p>
            <w:pPr>
              <w:spacing w:line="280" w:lineRule="exact"/>
              <w:jc w:val="center"/>
              <w:rPr>
                <w:szCs w:val="21"/>
              </w:rPr>
            </w:pPr>
            <w:r>
              <w:rPr>
                <w:rFonts w:hint="eastAsia"/>
                <w:szCs w:val="21"/>
              </w:rPr>
              <w:t>（六）法律、法规规定可以由劳动保障行政部门采取的其他调查、检查措施。</w:t>
            </w:r>
          </w:p>
          <w:p>
            <w:pPr>
              <w:spacing w:line="280" w:lineRule="exact"/>
              <w:jc w:val="center"/>
              <w:rPr>
                <w:szCs w:val="21"/>
              </w:rPr>
            </w:pPr>
            <w:r>
              <w:rPr>
                <w:rFonts w:hint="eastAsia"/>
                <w:szCs w:val="21"/>
              </w:rPr>
              <w:t>劳动保障行政部门对事实清楚、证据确凿、可以当场处理的违反劳动保障法律、法规或者规章的行为有权当场予以纠正。</w:t>
            </w:r>
          </w:p>
          <w:p>
            <w:pPr>
              <w:spacing w:line="280" w:lineRule="exact"/>
              <w:jc w:val="center"/>
              <w:rPr>
                <w:szCs w:val="21"/>
              </w:rPr>
            </w:pPr>
            <w:r>
              <w:rPr>
                <w:rFonts w:hint="eastAsia"/>
                <w:szCs w:val="21"/>
              </w:rPr>
              <w:t>第三十条第一款 有下列行为之一的，由劳动保障行政部门责令改正；对有第</w:t>
            </w:r>
          </w:p>
          <w:p>
            <w:pPr>
              <w:spacing w:line="280" w:lineRule="exact"/>
              <w:jc w:val="center"/>
              <w:rPr>
                <w:szCs w:val="21"/>
              </w:rPr>
            </w:pPr>
            <w:r>
              <w:rPr>
                <w:rFonts w:hint="eastAsia"/>
                <w:szCs w:val="21"/>
              </w:rPr>
              <w:t>（一）项、第（二）项或者第（三）项规定的行为的，处2000元以上2万元以下的罚款：</w:t>
            </w:r>
          </w:p>
          <w:p>
            <w:pPr>
              <w:spacing w:line="280" w:lineRule="exact"/>
              <w:jc w:val="center"/>
              <w:rPr>
                <w:szCs w:val="21"/>
              </w:rPr>
            </w:pPr>
            <w:r>
              <w:rPr>
                <w:rFonts w:hint="eastAsia"/>
                <w:szCs w:val="21"/>
              </w:rPr>
              <w:t>（一）无理抗拒、阻挠劳动保障行政部门依照本条例的规定实施劳动保障监察的；</w:t>
            </w:r>
          </w:p>
          <w:p>
            <w:pPr>
              <w:spacing w:line="280" w:lineRule="exact"/>
              <w:jc w:val="center"/>
              <w:rPr>
                <w:szCs w:val="21"/>
              </w:rPr>
            </w:pPr>
            <w:r>
              <w:rPr>
                <w:rFonts w:hint="eastAsia"/>
                <w:szCs w:val="21"/>
              </w:rPr>
              <w:t>（二）不按照劳动保障行政部门的要求报送书面材料，隐瞒事实真相，出具伪证或者隐匿、毁灭证据的；</w:t>
            </w:r>
          </w:p>
          <w:p>
            <w:pPr>
              <w:spacing w:line="280" w:lineRule="exact"/>
              <w:jc w:val="center"/>
              <w:rPr>
                <w:szCs w:val="21"/>
              </w:rPr>
            </w:pPr>
            <w:r>
              <w:rPr>
                <w:rFonts w:hint="eastAsia"/>
                <w:szCs w:val="21"/>
              </w:rPr>
              <w:t>（三）经劳动保障行政部门责令改正拒不改正，或者拒不履行劳动保障行政部门的行政处理决定的；</w:t>
            </w:r>
          </w:p>
          <w:p>
            <w:pPr>
              <w:spacing w:line="280" w:lineRule="exact"/>
              <w:jc w:val="center"/>
              <w:rPr>
                <w:szCs w:val="21"/>
              </w:rPr>
            </w:pPr>
            <w:r>
              <w:rPr>
                <w:rFonts w:hint="eastAsia"/>
                <w:szCs w:val="21"/>
              </w:rPr>
              <w:t>（四）打击报复举报人、投诉人的。</w:t>
            </w: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tc>
        <w:tc>
          <w:tcPr>
            <w:tcW w:w="92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配合劳动保障行政部门日常检查及相关调查，如实提供相关材料， 说明相关情况。</w:t>
            </w:r>
          </w:p>
        </w:tc>
        <w:tc>
          <w:tcPr>
            <w:tcW w:w="157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szCs w:val="21"/>
              </w:rPr>
              <w:t>区劳动保障监察大队</w:t>
            </w:r>
          </w:p>
          <w:p>
            <w:pPr>
              <w:spacing w:line="280" w:lineRule="exact"/>
              <w:jc w:val="center"/>
              <w:rPr>
                <w:szCs w:val="21"/>
              </w:rPr>
            </w:pPr>
            <w:r>
              <w:rPr>
                <w:rFonts w:hint="eastAsia"/>
                <w:szCs w:val="21"/>
              </w:rPr>
              <w:t>85056387</w:t>
            </w:r>
          </w:p>
        </w:tc>
      </w:tr>
    </w:tbl>
    <w:p>
      <w:pPr>
        <w:widowControl/>
        <w:spacing w:line="300" w:lineRule="exact"/>
        <w:rPr>
          <w:rFonts w:eastAsia="方正楷体_GBK"/>
          <w:szCs w:val="21"/>
        </w:rPr>
      </w:pPr>
      <w:r>
        <w:rPr>
          <w:rFonts w:hint="eastAsia" w:eastAsia="方正楷体_GBK"/>
          <w:szCs w:val="21"/>
        </w:rPr>
        <w:t>备注：1.本清单并未涵盖所有违法违规行为；合规建议仅为行政指导，不作为企业免责依据。</w:t>
      </w:r>
    </w:p>
    <w:p>
      <w:pPr>
        <w:widowControl/>
        <w:spacing w:line="300" w:lineRule="exact"/>
        <w:ind w:firstLine="630" w:firstLineChars="300"/>
        <w:rPr>
          <w:rFonts w:eastAsia="方正楷体_GBK"/>
          <w:szCs w:val="21"/>
        </w:rPr>
      </w:pPr>
      <w:r>
        <w:rPr>
          <w:rFonts w:hint="eastAsia" w:eastAsia="方正楷体_GBK"/>
          <w:szCs w:val="21"/>
        </w:rPr>
        <w:t>2.风险等级是指发生频率，发生频率较高的为★★★，发生频率一般的为★★，发生频率较少的为★。</w:t>
      </w:r>
    </w:p>
    <w:p>
      <w:pPr>
        <w:overflowPunct w:val="0"/>
        <w:autoSpaceDE w:val="0"/>
        <w:autoSpaceDN w:val="0"/>
        <w:adjustRightInd w:val="0"/>
        <w:jc w:val="left"/>
        <w:rPr>
          <w:rFonts w:ascii="方正小标宋_GBK" w:hAnsi="华文中宋" w:eastAsia="方正小标宋_GBK"/>
          <w:kern w:val="0"/>
          <w:sz w:val="36"/>
          <w:szCs w:val="36"/>
        </w:rPr>
      </w:pPr>
    </w:p>
    <w:p>
      <w:pPr>
        <w:widowControl/>
        <w:spacing w:line="300" w:lineRule="exact"/>
        <w:rPr>
          <w:rFonts w:ascii="方正小标宋_GBK" w:hAnsi="华文中宋" w:eastAsia="方正小标宋_GBK"/>
          <w:kern w:val="0"/>
          <w:sz w:val="36"/>
          <w:szCs w:val="36"/>
        </w:rPr>
        <w:sectPr>
          <w:pgSz w:w="16838" w:h="11906" w:orient="landscape"/>
          <w:pgMar w:top="1800" w:right="1440" w:bottom="1800" w:left="1440" w:header="851" w:footer="992" w:gutter="0"/>
          <w:cols w:space="425" w:num="1"/>
          <w:docGrid w:type="lines" w:linePitch="312" w:charSpace="0"/>
        </w:sectPr>
      </w:pPr>
    </w:p>
    <w:p>
      <w:pPr>
        <w:overflowPunct w:val="0"/>
        <w:autoSpaceDE w:val="0"/>
        <w:autoSpaceDN w:val="0"/>
        <w:adjustRightInd w:val="0"/>
        <w:jc w:val="center"/>
        <w:rPr>
          <w:rFonts w:hint="eastAsia" w:ascii="方正小标宋_GBK" w:hAnsi="华文中宋" w:eastAsia="方正小标宋_GBK"/>
          <w:kern w:val="0"/>
          <w:sz w:val="36"/>
          <w:szCs w:val="36"/>
          <w:lang w:eastAsia="zh-CN"/>
        </w:rPr>
      </w:pPr>
      <w:r>
        <w:rPr>
          <w:rFonts w:hint="eastAsia" w:ascii="方正小标宋_GBK" w:hAnsi="华文中宋" w:eastAsia="方正小标宋_GBK"/>
          <w:kern w:val="0"/>
          <w:sz w:val="36"/>
          <w:szCs w:val="36"/>
          <w:lang w:eastAsia="zh-CN"/>
        </w:rPr>
        <w:t>梁溪区企业行政合规指导清单（第一批）</w:t>
      </w:r>
    </w:p>
    <w:p>
      <w:pPr>
        <w:overflowPunct w:val="0"/>
        <w:autoSpaceDE w:val="0"/>
        <w:autoSpaceDN w:val="0"/>
        <w:adjustRightInd w:val="0"/>
        <w:jc w:val="center"/>
        <w:rPr>
          <w:rFonts w:ascii="方正小标宋_GBK" w:hAnsi="华文中宋" w:eastAsia="方正小标宋_GBK"/>
          <w:kern w:val="0"/>
          <w:sz w:val="36"/>
          <w:szCs w:val="36"/>
        </w:rPr>
      </w:pPr>
      <w:r>
        <w:rPr>
          <w:rFonts w:hint="eastAsia" w:ascii="方正小标宋_GBK" w:hAnsi="华文中宋" w:eastAsia="方正小标宋_GBK"/>
          <w:kern w:val="0"/>
          <w:sz w:val="36"/>
          <w:szCs w:val="36"/>
        </w:rPr>
        <w:t>（区</w:t>
      </w:r>
      <w:r>
        <w:rPr>
          <w:rFonts w:hint="eastAsia" w:ascii="方正小标宋_GBK" w:hAnsi="华文中宋" w:eastAsia="方正小标宋_GBK"/>
          <w:snapToGrid w:val="0"/>
          <w:color w:val="000000"/>
          <w:kern w:val="0"/>
          <w:sz w:val="36"/>
          <w:szCs w:val="36"/>
        </w:rPr>
        <w:t>住房和城乡建设局</w:t>
      </w:r>
      <w:r>
        <w:rPr>
          <w:rFonts w:hint="eastAsia" w:ascii="方正小标宋_GBK" w:hAnsi="华文中宋" w:eastAsia="方正小标宋_GBK"/>
          <w:kern w:val="0"/>
          <w:sz w:val="36"/>
          <w:szCs w:val="36"/>
        </w:rPr>
        <w:t>）</w:t>
      </w:r>
    </w:p>
    <w:p>
      <w:pPr>
        <w:rPr>
          <w:rFonts w:eastAsia="方正楷体_GBK"/>
          <w:szCs w:val="21"/>
        </w:rPr>
      </w:pPr>
      <w:r>
        <w:rPr>
          <w:rFonts w:hint="eastAsia" w:eastAsia="方正楷体_GBK"/>
          <w:szCs w:val="21"/>
        </w:rPr>
        <w:t>适用于物业服务企业：</w:t>
      </w:r>
    </w:p>
    <w:tbl>
      <w:tblPr>
        <w:tblStyle w:val="6"/>
        <w:tblW w:w="1459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9"/>
        <w:gridCol w:w="1774"/>
        <w:gridCol w:w="2302"/>
        <w:gridCol w:w="4337"/>
        <w:gridCol w:w="765"/>
        <w:gridCol w:w="2959"/>
        <w:gridCol w:w="15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79" w:type="dxa"/>
            <w:vAlign w:val="center"/>
          </w:tcPr>
          <w:p>
            <w:pPr>
              <w:spacing w:line="280" w:lineRule="exact"/>
              <w:jc w:val="center"/>
              <w:rPr>
                <w:rFonts w:ascii="方正黑体_GBK" w:eastAsia="方正黑体_GBK"/>
                <w:snapToGrid w:val="0"/>
                <w:sz w:val="24"/>
                <w:szCs w:val="24"/>
              </w:rPr>
            </w:pPr>
            <w:r>
              <w:rPr>
                <w:rFonts w:hint="eastAsia" w:ascii="方正黑体_GBK" w:hAnsi="黑体" w:eastAsia="方正黑体_GBK"/>
                <w:szCs w:val="21"/>
              </w:rPr>
              <w:t>序号</w:t>
            </w:r>
          </w:p>
        </w:tc>
        <w:tc>
          <w:tcPr>
            <w:tcW w:w="1774" w:type="dxa"/>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行政合规</w:t>
            </w:r>
          </w:p>
          <w:p>
            <w:pPr>
              <w:spacing w:line="280" w:lineRule="exact"/>
              <w:jc w:val="center"/>
              <w:rPr>
                <w:rFonts w:ascii="方正黑体_GBK" w:eastAsia="方正黑体_GBK"/>
                <w:snapToGrid w:val="0"/>
                <w:sz w:val="24"/>
                <w:szCs w:val="24"/>
              </w:rPr>
            </w:pPr>
            <w:r>
              <w:rPr>
                <w:rFonts w:hint="eastAsia" w:ascii="方正黑体_GBK" w:hAnsi="黑体" w:eastAsia="方正黑体_GBK"/>
                <w:szCs w:val="21"/>
              </w:rPr>
              <w:t>事项</w:t>
            </w:r>
          </w:p>
        </w:tc>
        <w:tc>
          <w:tcPr>
            <w:tcW w:w="2302" w:type="dxa"/>
            <w:vAlign w:val="center"/>
          </w:tcPr>
          <w:p>
            <w:pPr>
              <w:spacing w:line="280" w:lineRule="exact"/>
              <w:jc w:val="center"/>
              <w:rPr>
                <w:rFonts w:ascii="方正黑体_GBK" w:eastAsia="方正黑体_GBK"/>
                <w:snapToGrid w:val="0"/>
                <w:sz w:val="24"/>
                <w:szCs w:val="24"/>
              </w:rPr>
            </w:pPr>
            <w:r>
              <w:rPr>
                <w:rFonts w:hint="eastAsia" w:ascii="方正黑体_GBK" w:hAnsi="黑体" w:eastAsia="方正黑体_GBK"/>
                <w:szCs w:val="21"/>
              </w:rPr>
              <w:t>常见违法行为表现</w:t>
            </w:r>
          </w:p>
        </w:tc>
        <w:tc>
          <w:tcPr>
            <w:tcW w:w="4337" w:type="dxa"/>
            <w:vAlign w:val="center"/>
          </w:tcPr>
          <w:p>
            <w:pPr>
              <w:spacing w:line="280" w:lineRule="exact"/>
              <w:jc w:val="center"/>
              <w:rPr>
                <w:rFonts w:ascii="方正黑体_GBK" w:eastAsia="方正黑体_GBK"/>
                <w:snapToGrid w:val="0"/>
                <w:sz w:val="24"/>
                <w:szCs w:val="24"/>
              </w:rPr>
            </w:pPr>
            <w:r>
              <w:rPr>
                <w:rFonts w:hint="eastAsia" w:ascii="方正黑体_GBK" w:hAnsi="黑体" w:eastAsia="方正黑体_GBK"/>
                <w:szCs w:val="21"/>
              </w:rPr>
              <w:t>法律依据及违法责任</w:t>
            </w:r>
          </w:p>
        </w:tc>
        <w:tc>
          <w:tcPr>
            <w:tcW w:w="765" w:type="dxa"/>
            <w:vAlign w:val="center"/>
          </w:tcPr>
          <w:p>
            <w:pPr>
              <w:spacing w:line="280" w:lineRule="exact"/>
              <w:jc w:val="center"/>
              <w:rPr>
                <w:rFonts w:ascii="方正黑体_GBK" w:eastAsia="方正黑体_GBK"/>
                <w:snapToGrid w:val="0"/>
                <w:sz w:val="24"/>
                <w:szCs w:val="24"/>
              </w:rPr>
            </w:pPr>
            <w:r>
              <w:rPr>
                <w:rFonts w:hint="eastAsia" w:ascii="方正黑体_GBK" w:hAnsi="黑体" w:eastAsia="方正黑体_GBK"/>
                <w:szCs w:val="21"/>
              </w:rPr>
              <w:t>风险等级</w:t>
            </w:r>
          </w:p>
        </w:tc>
        <w:tc>
          <w:tcPr>
            <w:tcW w:w="2959" w:type="dxa"/>
            <w:vAlign w:val="center"/>
          </w:tcPr>
          <w:p>
            <w:pPr>
              <w:spacing w:line="280" w:lineRule="exact"/>
              <w:jc w:val="center"/>
              <w:rPr>
                <w:rFonts w:ascii="方正黑体_GBK" w:eastAsia="方正黑体_GBK"/>
                <w:snapToGrid w:val="0"/>
                <w:sz w:val="24"/>
                <w:szCs w:val="24"/>
              </w:rPr>
            </w:pPr>
            <w:r>
              <w:rPr>
                <w:rFonts w:hint="eastAsia" w:ascii="方正黑体_GBK" w:hAnsi="黑体" w:eastAsia="方正黑体_GBK"/>
                <w:szCs w:val="21"/>
              </w:rPr>
              <w:t>合规建议</w:t>
            </w:r>
          </w:p>
        </w:tc>
        <w:tc>
          <w:tcPr>
            <w:tcW w:w="1576" w:type="dxa"/>
            <w:vAlign w:val="center"/>
          </w:tcPr>
          <w:p>
            <w:pPr>
              <w:spacing w:line="280" w:lineRule="exact"/>
              <w:jc w:val="center"/>
              <w:rPr>
                <w:rFonts w:ascii="方正黑体_GBK" w:eastAsia="方正黑体_GBK"/>
                <w:snapToGrid w:val="0"/>
                <w:sz w:val="24"/>
                <w:szCs w:val="24"/>
              </w:rPr>
            </w:pPr>
            <w:r>
              <w:rPr>
                <w:rFonts w:hint="eastAsia" w:ascii="方正黑体_GBK" w:hAnsi="黑体" w:eastAsia="方正黑体_GBK"/>
                <w:szCs w:val="21"/>
              </w:rPr>
              <w:t>指导部门（科室）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vAlign w:val="center"/>
          </w:tcPr>
          <w:p>
            <w:pPr>
              <w:spacing w:line="280" w:lineRule="exact"/>
              <w:jc w:val="center"/>
              <w:rPr>
                <w:szCs w:val="21"/>
              </w:rPr>
            </w:pPr>
            <w:r>
              <w:rPr>
                <w:rFonts w:hint="eastAsia"/>
                <w:szCs w:val="21"/>
              </w:rPr>
              <w:t>1</w:t>
            </w:r>
          </w:p>
        </w:tc>
        <w:tc>
          <w:tcPr>
            <w:tcW w:w="1774" w:type="dxa"/>
            <w:vAlign w:val="center"/>
          </w:tcPr>
          <w:p>
            <w:pPr>
              <w:spacing w:line="280" w:lineRule="exact"/>
              <w:jc w:val="center"/>
              <w:rPr>
                <w:szCs w:val="21"/>
              </w:rPr>
            </w:pPr>
            <w:r>
              <w:rPr>
                <w:rFonts w:hint="eastAsia"/>
                <w:szCs w:val="21"/>
              </w:rPr>
              <w:t>物业服务企业应当依法办理承接查验备案手续，并将承接查验情况在物业管理区域内显著位置公告</w:t>
            </w:r>
          </w:p>
        </w:tc>
        <w:tc>
          <w:tcPr>
            <w:tcW w:w="2302" w:type="dxa"/>
            <w:vAlign w:val="center"/>
          </w:tcPr>
          <w:p>
            <w:pPr>
              <w:spacing w:line="280" w:lineRule="exact"/>
              <w:jc w:val="center"/>
              <w:rPr>
                <w:szCs w:val="21"/>
              </w:rPr>
            </w:pPr>
            <w:r>
              <w:rPr>
                <w:rFonts w:hint="eastAsia"/>
                <w:szCs w:val="21"/>
              </w:rPr>
              <w:t>物业服务企业未将物业承接查验情况在物业管理区域内显著位置公告</w:t>
            </w:r>
          </w:p>
        </w:tc>
        <w:tc>
          <w:tcPr>
            <w:tcW w:w="4337" w:type="dxa"/>
            <w:vAlign w:val="center"/>
          </w:tcPr>
          <w:p>
            <w:pPr>
              <w:spacing w:line="280" w:lineRule="exact"/>
              <w:jc w:val="center"/>
              <w:rPr>
                <w:szCs w:val="21"/>
              </w:rPr>
            </w:pPr>
            <w:r>
              <w:rPr>
                <w:rFonts w:hint="eastAsia"/>
                <w:szCs w:val="21"/>
              </w:rPr>
              <w:t>《无锡市物业管理条例》第六十七条 违反本条例第三十一条第二款规定，物业服务企业未将物业承接查验情况在物业管理区域内显著位置公告的，由县级市、区物业管理行政主管部门责令限期改正；逾期未改正的，处以二万元以上十万元以下罚款。</w:t>
            </w:r>
          </w:p>
        </w:tc>
        <w:tc>
          <w:tcPr>
            <w:tcW w:w="765" w:type="dxa"/>
            <w:vAlign w:val="center"/>
          </w:tcPr>
          <w:p>
            <w:pPr>
              <w:spacing w:line="280" w:lineRule="exact"/>
              <w:jc w:val="center"/>
              <w:rPr>
                <w:szCs w:val="21"/>
              </w:rPr>
            </w:pPr>
            <w:r>
              <w:rPr>
                <w:rFonts w:hint="eastAsia"/>
                <w:szCs w:val="21"/>
              </w:rPr>
              <w:t>★</w:t>
            </w:r>
          </w:p>
        </w:tc>
        <w:tc>
          <w:tcPr>
            <w:tcW w:w="2959" w:type="dxa"/>
            <w:vAlign w:val="center"/>
          </w:tcPr>
          <w:p>
            <w:pPr>
              <w:spacing w:line="280" w:lineRule="exact"/>
              <w:jc w:val="center"/>
              <w:rPr>
                <w:szCs w:val="21"/>
              </w:rPr>
            </w:pPr>
            <w:r>
              <w:rPr>
                <w:rFonts w:hint="eastAsia"/>
                <w:szCs w:val="21"/>
              </w:rPr>
              <w:t>物业服务企业应当依法办理承接查验备案手续，并将承接查验情况在物业管理区域内显著位置公告</w:t>
            </w:r>
          </w:p>
        </w:tc>
        <w:tc>
          <w:tcPr>
            <w:tcW w:w="1576" w:type="dxa"/>
            <w:vAlign w:val="center"/>
          </w:tcPr>
          <w:p>
            <w:pPr>
              <w:spacing w:line="280" w:lineRule="exact"/>
              <w:jc w:val="center"/>
              <w:rPr>
                <w:szCs w:val="21"/>
              </w:rPr>
            </w:pPr>
            <w:r>
              <w:rPr>
                <w:rFonts w:hint="eastAsia"/>
                <w:szCs w:val="21"/>
              </w:rPr>
              <w:t>区住房和城乡建设局</w:t>
            </w:r>
          </w:p>
          <w:p>
            <w:pPr>
              <w:spacing w:line="280" w:lineRule="exact"/>
              <w:jc w:val="center"/>
              <w:rPr>
                <w:szCs w:val="21"/>
              </w:rPr>
            </w:pPr>
            <w:r>
              <w:rPr>
                <w:rFonts w:hint="eastAsia"/>
                <w:szCs w:val="21"/>
              </w:rPr>
              <w:t>物业管理科</w:t>
            </w:r>
          </w:p>
          <w:p>
            <w:pPr>
              <w:spacing w:line="280" w:lineRule="exact"/>
              <w:jc w:val="center"/>
              <w:rPr>
                <w:szCs w:val="21"/>
              </w:rPr>
            </w:pPr>
            <w:r>
              <w:rPr>
                <w:szCs w:val="21"/>
              </w:rPr>
              <w:t>83158206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37" w:hRule="atLeast"/>
          <w:jc w:val="center"/>
        </w:trPr>
        <w:tc>
          <w:tcPr>
            <w:tcW w:w="879" w:type="dxa"/>
            <w:vAlign w:val="center"/>
          </w:tcPr>
          <w:p>
            <w:pPr>
              <w:spacing w:line="280" w:lineRule="exact"/>
              <w:jc w:val="center"/>
              <w:rPr>
                <w:szCs w:val="21"/>
              </w:rPr>
            </w:pPr>
            <w:r>
              <w:rPr>
                <w:rFonts w:hint="eastAsia"/>
                <w:szCs w:val="21"/>
              </w:rPr>
              <w:t>2</w:t>
            </w:r>
          </w:p>
        </w:tc>
        <w:tc>
          <w:tcPr>
            <w:tcW w:w="1774" w:type="dxa"/>
            <w:vAlign w:val="center"/>
          </w:tcPr>
          <w:p>
            <w:pPr>
              <w:spacing w:line="280" w:lineRule="exact"/>
              <w:jc w:val="center"/>
              <w:rPr>
                <w:szCs w:val="21"/>
              </w:rPr>
            </w:pPr>
            <w:r>
              <w:rPr>
                <w:rFonts w:hint="eastAsia"/>
                <w:szCs w:val="21"/>
              </w:rPr>
              <w:t>物业服务企业未经业主大会同意，不能擅自改变物业管理用房的用途</w:t>
            </w:r>
          </w:p>
        </w:tc>
        <w:tc>
          <w:tcPr>
            <w:tcW w:w="2302" w:type="dxa"/>
            <w:vAlign w:val="center"/>
          </w:tcPr>
          <w:p>
            <w:pPr>
              <w:spacing w:line="280" w:lineRule="exact"/>
              <w:jc w:val="center"/>
              <w:rPr>
                <w:szCs w:val="21"/>
              </w:rPr>
            </w:pPr>
            <w:r>
              <w:rPr>
                <w:rFonts w:hint="eastAsia"/>
                <w:szCs w:val="21"/>
              </w:rPr>
              <w:t>物业服务企业未经业主大会同意，擅自改变物业管理用房的用途</w:t>
            </w:r>
          </w:p>
        </w:tc>
        <w:tc>
          <w:tcPr>
            <w:tcW w:w="4337" w:type="dxa"/>
            <w:vAlign w:val="center"/>
          </w:tcPr>
          <w:p>
            <w:pPr>
              <w:spacing w:line="280" w:lineRule="exact"/>
              <w:jc w:val="center"/>
              <w:rPr>
                <w:szCs w:val="21"/>
              </w:rPr>
            </w:pPr>
            <w:r>
              <w:rPr>
                <w:rFonts w:hint="eastAsia"/>
                <w:szCs w:val="21"/>
              </w:rPr>
              <w:t>《物业管理条例》第六十二条　违反本条例的规定，未经业主大会同意，物业服务企业擅自改变物业管理用房的用途的，由县级以上地方人民政府房地产行政主管部门责令限期改正，给予警告，并处</w:t>
            </w:r>
            <w:r>
              <w:rPr>
                <w:szCs w:val="21"/>
              </w:rPr>
              <w:t>1万元以上10</w:t>
            </w:r>
            <w:r>
              <w:rPr>
                <w:rFonts w:hint="eastAsia"/>
                <w:szCs w:val="21"/>
              </w:rPr>
              <w:t>万元以下的罚款；有收益的，所得收益用于物业管理区域内物业共用部位、共用设施设备的维修、养护，剩余部分按照业主大会的决定使用。</w:t>
            </w:r>
          </w:p>
        </w:tc>
        <w:tc>
          <w:tcPr>
            <w:tcW w:w="765" w:type="dxa"/>
            <w:vAlign w:val="center"/>
          </w:tcPr>
          <w:p>
            <w:pPr>
              <w:spacing w:line="280" w:lineRule="exact"/>
              <w:jc w:val="center"/>
              <w:rPr>
                <w:szCs w:val="21"/>
              </w:rPr>
            </w:pPr>
            <w:r>
              <w:rPr>
                <w:rFonts w:hint="eastAsia"/>
                <w:szCs w:val="21"/>
              </w:rPr>
              <w:t>★</w:t>
            </w:r>
          </w:p>
        </w:tc>
        <w:tc>
          <w:tcPr>
            <w:tcW w:w="2959" w:type="dxa"/>
            <w:vAlign w:val="center"/>
          </w:tcPr>
          <w:p>
            <w:pPr>
              <w:spacing w:line="280" w:lineRule="exact"/>
              <w:jc w:val="center"/>
              <w:rPr>
                <w:szCs w:val="21"/>
              </w:rPr>
            </w:pPr>
            <w:r>
              <w:rPr>
                <w:rFonts w:hint="eastAsia"/>
                <w:szCs w:val="21"/>
              </w:rPr>
              <w:t>物业服务企业改变物业管理用房的用途，必须经过业主大会同意</w:t>
            </w:r>
          </w:p>
        </w:tc>
        <w:tc>
          <w:tcPr>
            <w:tcW w:w="1576" w:type="dxa"/>
            <w:vAlign w:val="center"/>
          </w:tcPr>
          <w:p>
            <w:pPr>
              <w:spacing w:line="280" w:lineRule="exact"/>
              <w:jc w:val="center"/>
              <w:rPr>
                <w:szCs w:val="21"/>
              </w:rPr>
            </w:pPr>
            <w:r>
              <w:rPr>
                <w:rFonts w:hint="eastAsia"/>
                <w:szCs w:val="21"/>
              </w:rPr>
              <w:t>区住房和城乡建设局</w:t>
            </w:r>
          </w:p>
          <w:p>
            <w:pPr>
              <w:spacing w:line="280" w:lineRule="exact"/>
              <w:jc w:val="center"/>
              <w:rPr>
                <w:szCs w:val="21"/>
              </w:rPr>
            </w:pPr>
            <w:r>
              <w:rPr>
                <w:rFonts w:hint="eastAsia"/>
                <w:szCs w:val="21"/>
              </w:rPr>
              <w:t>物业管理科</w:t>
            </w:r>
          </w:p>
          <w:p>
            <w:pPr>
              <w:spacing w:line="280" w:lineRule="exact"/>
              <w:jc w:val="center"/>
              <w:rPr>
                <w:szCs w:val="21"/>
              </w:rPr>
            </w:pPr>
            <w:r>
              <w:rPr>
                <w:szCs w:val="21"/>
              </w:rPr>
              <w:t>83158206</w:t>
            </w:r>
          </w:p>
        </w:tc>
      </w:tr>
    </w:tbl>
    <w:p>
      <w:pPr>
        <w:widowControl/>
        <w:spacing w:line="300" w:lineRule="exact"/>
        <w:rPr>
          <w:rFonts w:eastAsia="方正楷体_GBK"/>
          <w:szCs w:val="21"/>
        </w:rPr>
      </w:pPr>
      <w:r>
        <w:rPr>
          <w:rFonts w:hint="eastAsia" w:eastAsia="方正楷体_GBK"/>
          <w:szCs w:val="21"/>
        </w:rPr>
        <w:t>备注：</w:t>
      </w:r>
      <w:r>
        <w:rPr>
          <w:rFonts w:eastAsia="方正楷体_GBK"/>
          <w:szCs w:val="21"/>
        </w:rPr>
        <w:t>1.本清单并未涵盖所有违法违规行为；合规建议仅为行政指导，不作为企业免责依据。</w:t>
      </w:r>
    </w:p>
    <w:p>
      <w:pPr>
        <w:widowControl/>
        <w:spacing w:line="300" w:lineRule="exact"/>
        <w:ind w:firstLine="630" w:firstLineChars="300"/>
        <w:rPr>
          <w:rFonts w:eastAsia="方正楷体_GBK"/>
          <w:szCs w:val="21"/>
        </w:rPr>
      </w:pPr>
      <w:r>
        <w:rPr>
          <w:rFonts w:eastAsia="方正楷体_GBK"/>
          <w:szCs w:val="21"/>
        </w:rPr>
        <w:t>2.</w:t>
      </w:r>
      <w:r>
        <w:rPr>
          <w:rFonts w:hint="eastAsia" w:eastAsia="方正楷体_GBK"/>
          <w:szCs w:val="21"/>
        </w:rPr>
        <w:t>风险等级：发生频率较高的为★★★，发生频率一般的为★★，发生频率较少的为★。</w:t>
      </w:r>
    </w:p>
    <w:p>
      <w:pPr>
        <w:rPr>
          <w:rFonts w:eastAsia="方正楷体_GBK"/>
          <w:szCs w:val="21"/>
        </w:rPr>
      </w:pPr>
    </w:p>
    <w:p>
      <w:pPr>
        <w:rPr>
          <w:rFonts w:eastAsia="方正楷体_GBK"/>
          <w:szCs w:val="21"/>
        </w:rPr>
      </w:pPr>
    </w:p>
    <w:p>
      <w:pPr>
        <w:rPr>
          <w:rFonts w:eastAsia="方正楷体_GBK"/>
          <w:szCs w:val="21"/>
        </w:rPr>
      </w:pPr>
    </w:p>
    <w:p>
      <w:pPr>
        <w:rPr>
          <w:rFonts w:eastAsia="方正楷体_GBK"/>
          <w:szCs w:val="21"/>
        </w:rPr>
      </w:pPr>
      <w:r>
        <w:rPr>
          <w:rFonts w:hint="eastAsia" w:eastAsia="方正楷体_GBK"/>
          <w:szCs w:val="21"/>
        </w:rPr>
        <w:t>适用于建设单位：</w:t>
      </w:r>
    </w:p>
    <w:tbl>
      <w:tblPr>
        <w:tblStyle w:val="6"/>
        <w:tblW w:w="1459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9"/>
        <w:gridCol w:w="1774"/>
        <w:gridCol w:w="2302"/>
        <w:gridCol w:w="4337"/>
        <w:gridCol w:w="765"/>
        <w:gridCol w:w="2959"/>
        <w:gridCol w:w="15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5" w:hRule="atLeast"/>
          <w:tblHeader/>
          <w:jc w:val="center"/>
        </w:trPr>
        <w:tc>
          <w:tcPr>
            <w:tcW w:w="879" w:type="dxa"/>
            <w:vAlign w:val="center"/>
          </w:tcPr>
          <w:p>
            <w:pPr>
              <w:spacing w:line="280" w:lineRule="exact"/>
              <w:jc w:val="center"/>
              <w:rPr>
                <w:rFonts w:ascii="方正黑体_GBK" w:eastAsia="方正黑体_GBK"/>
                <w:sz w:val="24"/>
                <w:szCs w:val="24"/>
              </w:rPr>
            </w:pPr>
            <w:r>
              <w:rPr>
                <w:rFonts w:hint="eastAsia" w:ascii="方正黑体_GBK" w:hAnsi="黑体" w:eastAsia="方正黑体_GBK"/>
                <w:szCs w:val="21"/>
              </w:rPr>
              <w:t>序号</w:t>
            </w:r>
          </w:p>
        </w:tc>
        <w:tc>
          <w:tcPr>
            <w:tcW w:w="1774" w:type="dxa"/>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行政合规</w:t>
            </w:r>
          </w:p>
          <w:p>
            <w:pPr>
              <w:spacing w:line="280" w:lineRule="exact"/>
              <w:jc w:val="center"/>
              <w:rPr>
                <w:rFonts w:ascii="方正黑体_GBK" w:eastAsia="方正黑体_GBK"/>
                <w:sz w:val="24"/>
                <w:szCs w:val="24"/>
              </w:rPr>
            </w:pPr>
            <w:r>
              <w:rPr>
                <w:rFonts w:hint="eastAsia" w:ascii="方正黑体_GBK" w:hAnsi="黑体" w:eastAsia="方正黑体_GBK"/>
                <w:szCs w:val="21"/>
              </w:rPr>
              <w:t>事项</w:t>
            </w:r>
          </w:p>
        </w:tc>
        <w:tc>
          <w:tcPr>
            <w:tcW w:w="2302" w:type="dxa"/>
            <w:vAlign w:val="center"/>
          </w:tcPr>
          <w:p>
            <w:pPr>
              <w:spacing w:line="280" w:lineRule="exact"/>
              <w:jc w:val="center"/>
              <w:rPr>
                <w:rFonts w:ascii="方正黑体_GBK" w:eastAsia="方正黑体_GBK"/>
                <w:sz w:val="24"/>
                <w:szCs w:val="24"/>
              </w:rPr>
            </w:pPr>
            <w:r>
              <w:rPr>
                <w:rFonts w:hint="eastAsia" w:ascii="方正黑体_GBK" w:hAnsi="黑体" w:eastAsia="方正黑体_GBK"/>
                <w:szCs w:val="21"/>
              </w:rPr>
              <w:t>常见违法行为表现</w:t>
            </w:r>
          </w:p>
        </w:tc>
        <w:tc>
          <w:tcPr>
            <w:tcW w:w="4337" w:type="dxa"/>
            <w:vAlign w:val="center"/>
          </w:tcPr>
          <w:p>
            <w:pPr>
              <w:spacing w:line="280" w:lineRule="exact"/>
              <w:jc w:val="center"/>
              <w:rPr>
                <w:rFonts w:ascii="方正黑体_GBK" w:eastAsia="方正黑体_GBK"/>
                <w:sz w:val="24"/>
                <w:szCs w:val="24"/>
              </w:rPr>
            </w:pPr>
            <w:r>
              <w:rPr>
                <w:rFonts w:hint="eastAsia" w:ascii="方正黑体_GBK" w:hAnsi="黑体" w:eastAsia="方正黑体_GBK"/>
                <w:szCs w:val="21"/>
              </w:rPr>
              <w:t>法律依据及违法责任</w:t>
            </w:r>
          </w:p>
        </w:tc>
        <w:tc>
          <w:tcPr>
            <w:tcW w:w="765" w:type="dxa"/>
            <w:vAlign w:val="center"/>
          </w:tcPr>
          <w:p>
            <w:pPr>
              <w:spacing w:line="280" w:lineRule="exact"/>
              <w:jc w:val="center"/>
              <w:rPr>
                <w:rFonts w:ascii="方正黑体_GBK" w:eastAsia="方正黑体_GBK"/>
                <w:sz w:val="24"/>
                <w:szCs w:val="24"/>
              </w:rPr>
            </w:pPr>
            <w:r>
              <w:rPr>
                <w:rFonts w:hint="eastAsia" w:ascii="方正黑体_GBK" w:hAnsi="黑体" w:eastAsia="方正黑体_GBK"/>
                <w:szCs w:val="21"/>
              </w:rPr>
              <w:t>风险等级</w:t>
            </w:r>
          </w:p>
        </w:tc>
        <w:tc>
          <w:tcPr>
            <w:tcW w:w="2959" w:type="dxa"/>
            <w:vAlign w:val="center"/>
          </w:tcPr>
          <w:p>
            <w:pPr>
              <w:spacing w:line="280" w:lineRule="exact"/>
              <w:jc w:val="center"/>
              <w:rPr>
                <w:rFonts w:ascii="方正黑体_GBK" w:eastAsia="方正黑体_GBK"/>
                <w:sz w:val="24"/>
                <w:szCs w:val="24"/>
              </w:rPr>
            </w:pPr>
            <w:r>
              <w:rPr>
                <w:rFonts w:hint="eastAsia" w:ascii="方正黑体_GBK" w:hAnsi="黑体" w:eastAsia="方正黑体_GBK"/>
                <w:szCs w:val="21"/>
              </w:rPr>
              <w:t>合规建议</w:t>
            </w:r>
          </w:p>
        </w:tc>
        <w:tc>
          <w:tcPr>
            <w:tcW w:w="1576" w:type="dxa"/>
            <w:vAlign w:val="center"/>
          </w:tcPr>
          <w:p>
            <w:pPr>
              <w:spacing w:line="280" w:lineRule="exact"/>
              <w:jc w:val="center"/>
              <w:rPr>
                <w:rFonts w:ascii="方正黑体_GBK" w:eastAsia="方正黑体_GBK"/>
                <w:sz w:val="24"/>
                <w:szCs w:val="24"/>
              </w:rPr>
            </w:pPr>
            <w:r>
              <w:rPr>
                <w:rFonts w:hint="eastAsia" w:ascii="方正黑体_GBK" w:hAnsi="黑体" w:eastAsia="方正黑体_GBK"/>
                <w:szCs w:val="21"/>
              </w:rPr>
              <w:t>指导部门（科室）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7" w:hRule="atLeast"/>
          <w:jc w:val="center"/>
        </w:trPr>
        <w:tc>
          <w:tcPr>
            <w:tcW w:w="879" w:type="dxa"/>
            <w:vAlign w:val="center"/>
          </w:tcPr>
          <w:p>
            <w:pPr>
              <w:spacing w:line="280" w:lineRule="exact"/>
              <w:jc w:val="center"/>
              <w:rPr>
                <w:szCs w:val="21"/>
              </w:rPr>
            </w:pPr>
            <w:r>
              <w:rPr>
                <w:szCs w:val="21"/>
              </w:rPr>
              <w:t>1</w:t>
            </w:r>
          </w:p>
        </w:tc>
        <w:tc>
          <w:tcPr>
            <w:tcW w:w="1774" w:type="dxa"/>
            <w:vAlign w:val="center"/>
          </w:tcPr>
          <w:p>
            <w:pPr>
              <w:spacing w:line="280" w:lineRule="exact"/>
              <w:jc w:val="center"/>
              <w:rPr>
                <w:szCs w:val="21"/>
              </w:rPr>
            </w:pPr>
            <w:r>
              <w:rPr>
                <w:rFonts w:hint="eastAsia"/>
                <w:szCs w:val="21"/>
              </w:rPr>
              <w:t>建设单位应当对建设工程组织竣工验收后交付使用</w:t>
            </w:r>
          </w:p>
        </w:tc>
        <w:tc>
          <w:tcPr>
            <w:tcW w:w="2302" w:type="dxa"/>
            <w:vAlign w:val="center"/>
          </w:tcPr>
          <w:p>
            <w:pPr>
              <w:spacing w:line="280" w:lineRule="exact"/>
              <w:jc w:val="center"/>
              <w:rPr>
                <w:szCs w:val="21"/>
              </w:rPr>
            </w:pPr>
            <w:r>
              <w:rPr>
                <w:rFonts w:hint="eastAsia"/>
                <w:szCs w:val="21"/>
              </w:rPr>
              <w:t>建设单位未组织竣工验收擅自交付使用</w:t>
            </w:r>
          </w:p>
        </w:tc>
        <w:tc>
          <w:tcPr>
            <w:tcW w:w="4337" w:type="dxa"/>
            <w:vAlign w:val="center"/>
          </w:tcPr>
          <w:p>
            <w:pPr>
              <w:spacing w:line="280" w:lineRule="exact"/>
              <w:jc w:val="center"/>
              <w:rPr>
                <w:szCs w:val="21"/>
              </w:rPr>
            </w:pPr>
            <w:r>
              <w:rPr>
                <w:rFonts w:hint="eastAsia"/>
                <w:szCs w:val="21"/>
              </w:rPr>
              <w:t>【行政法规】《建设工程质量管理条例》（</w:t>
            </w:r>
            <w:r>
              <w:rPr>
                <w:szCs w:val="21"/>
              </w:rPr>
              <w:t>2019修订）</w:t>
            </w:r>
          </w:p>
          <w:p>
            <w:pPr>
              <w:spacing w:line="280" w:lineRule="exact"/>
              <w:jc w:val="center"/>
              <w:rPr>
                <w:szCs w:val="21"/>
              </w:rPr>
            </w:pPr>
            <w:r>
              <w:rPr>
                <w:szCs w:val="21"/>
              </w:rPr>
              <w:t>第十六条第三款 建设工程经验收合格的，方可交付使用。</w:t>
            </w:r>
          </w:p>
          <w:p>
            <w:pPr>
              <w:spacing w:line="280" w:lineRule="exact"/>
              <w:jc w:val="center"/>
              <w:rPr>
                <w:szCs w:val="21"/>
              </w:rPr>
            </w:pPr>
            <w:r>
              <w:rPr>
                <w:szCs w:val="21"/>
              </w:rPr>
              <w:t>第五十八条第（六）项 违反本条例规定，建设单位有下列行为之一的， 责令改正，处工程合同价款2％以上4％</w:t>
            </w:r>
            <w:r>
              <w:rPr>
                <w:rFonts w:hint="eastAsia"/>
                <w:szCs w:val="21"/>
              </w:rPr>
              <w:t>以下的罚款；造成损失的，依法承担赔偿责任：</w:t>
            </w:r>
          </w:p>
          <w:p>
            <w:pPr>
              <w:spacing w:line="280" w:lineRule="exact"/>
              <w:jc w:val="center"/>
              <w:rPr>
                <w:szCs w:val="21"/>
              </w:rPr>
            </w:pPr>
            <w:r>
              <w:rPr>
                <w:rFonts w:hint="eastAsia"/>
                <w:szCs w:val="21"/>
              </w:rPr>
              <w:t>（一）未组织竣工验收，擅自交付使用的；</w:t>
            </w:r>
          </w:p>
        </w:tc>
        <w:tc>
          <w:tcPr>
            <w:tcW w:w="765" w:type="dxa"/>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rFonts w:hint="eastAsia" w:ascii="宋体" w:hAnsi="宋体"/>
                <w:szCs w:val="21"/>
              </w:rPr>
              <w:t>★★★</w:t>
            </w:r>
          </w:p>
        </w:tc>
        <w:tc>
          <w:tcPr>
            <w:tcW w:w="2959" w:type="dxa"/>
            <w:vAlign w:val="center"/>
          </w:tcPr>
          <w:p>
            <w:pPr>
              <w:spacing w:line="280" w:lineRule="exact"/>
              <w:jc w:val="center"/>
              <w:rPr>
                <w:szCs w:val="21"/>
              </w:rPr>
            </w:pPr>
            <w:r>
              <w:rPr>
                <w:rFonts w:hint="eastAsia"/>
                <w:szCs w:val="21"/>
              </w:rPr>
              <w:t>建设单位应当对建设工程组织竣工验收后交付使用</w:t>
            </w:r>
          </w:p>
        </w:tc>
        <w:tc>
          <w:tcPr>
            <w:tcW w:w="1576" w:type="dxa"/>
            <w:vAlign w:val="center"/>
          </w:tcPr>
          <w:p>
            <w:pPr>
              <w:spacing w:line="280" w:lineRule="exact"/>
              <w:jc w:val="center"/>
              <w:rPr>
                <w:szCs w:val="21"/>
              </w:rPr>
            </w:pPr>
            <w:r>
              <w:rPr>
                <w:rFonts w:hint="eastAsia"/>
                <w:szCs w:val="21"/>
              </w:rPr>
              <w:t>梁溪区建设工程质量安全监督站</w:t>
            </w:r>
          </w:p>
          <w:p>
            <w:pPr>
              <w:spacing w:line="280" w:lineRule="exact"/>
              <w:jc w:val="center"/>
              <w:rPr>
                <w:szCs w:val="21"/>
              </w:rPr>
            </w:pPr>
            <w:r>
              <w:rPr>
                <w:szCs w:val="21"/>
              </w:rPr>
              <w:t>83158134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1" w:hRule="atLeast"/>
          <w:jc w:val="center"/>
        </w:trPr>
        <w:tc>
          <w:tcPr>
            <w:tcW w:w="879" w:type="dxa"/>
            <w:vAlign w:val="center"/>
          </w:tcPr>
          <w:p>
            <w:pPr>
              <w:spacing w:line="280" w:lineRule="exact"/>
              <w:jc w:val="center"/>
              <w:rPr>
                <w:szCs w:val="21"/>
              </w:rPr>
            </w:pPr>
            <w:r>
              <w:rPr>
                <w:szCs w:val="21"/>
              </w:rPr>
              <w:t>2</w:t>
            </w:r>
          </w:p>
        </w:tc>
        <w:tc>
          <w:tcPr>
            <w:tcW w:w="1774" w:type="dxa"/>
            <w:vAlign w:val="center"/>
          </w:tcPr>
          <w:p>
            <w:pPr>
              <w:spacing w:line="280" w:lineRule="exact"/>
              <w:jc w:val="center"/>
              <w:rPr>
                <w:szCs w:val="21"/>
              </w:rPr>
            </w:pPr>
            <w:r>
              <w:rPr>
                <w:rFonts w:hint="eastAsia"/>
                <w:szCs w:val="21"/>
              </w:rPr>
              <w:t>国务院住房和城乡建设主管部门规定的特殊建设工程，建设单位应当将消防设计文件报送住房和城乡建设主管部门审查</w:t>
            </w:r>
          </w:p>
        </w:tc>
        <w:tc>
          <w:tcPr>
            <w:tcW w:w="2302" w:type="dxa"/>
            <w:vAlign w:val="center"/>
          </w:tcPr>
          <w:p>
            <w:pPr>
              <w:spacing w:line="280" w:lineRule="exact"/>
              <w:jc w:val="center"/>
              <w:rPr>
                <w:szCs w:val="21"/>
              </w:rPr>
            </w:pPr>
            <w:r>
              <w:rPr>
                <w:rFonts w:hint="eastAsia"/>
                <w:szCs w:val="21"/>
              </w:rPr>
              <w:t>依法应当进行消防设计审查的建设工程，未经依法审查或者审查不合格，擅自施工的</w:t>
            </w:r>
          </w:p>
        </w:tc>
        <w:tc>
          <w:tcPr>
            <w:tcW w:w="4337" w:type="dxa"/>
            <w:vAlign w:val="center"/>
          </w:tcPr>
          <w:p>
            <w:pPr>
              <w:spacing w:line="280" w:lineRule="exact"/>
              <w:jc w:val="center"/>
              <w:rPr>
                <w:szCs w:val="21"/>
              </w:rPr>
            </w:pPr>
            <w:r>
              <w:rPr>
                <w:rFonts w:hint="eastAsia"/>
                <w:szCs w:val="21"/>
              </w:rPr>
              <w:t>《中华人民共和国消防法》</w:t>
            </w:r>
          </w:p>
          <w:p>
            <w:pPr>
              <w:spacing w:line="280" w:lineRule="exact"/>
              <w:jc w:val="center"/>
              <w:rPr>
                <w:szCs w:val="21"/>
              </w:rPr>
            </w:pPr>
            <w:r>
              <w:rPr>
                <w:rFonts w:hint="eastAsia"/>
                <w:szCs w:val="21"/>
              </w:rPr>
              <w:t>第十一条第一款 国务院住房和城乡建设主管部门规定的特殊建设工程，建设单位应当将消防设计文件报送住房和城乡建设主管部门审查，住房和城乡建设主管部门依法对审查的结果负责。</w:t>
            </w:r>
          </w:p>
          <w:p>
            <w:pPr>
              <w:spacing w:line="280" w:lineRule="exact"/>
              <w:jc w:val="center"/>
              <w:rPr>
                <w:szCs w:val="21"/>
              </w:rPr>
            </w:pPr>
            <w:r>
              <w:rPr>
                <w:rFonts w:hint="eastAsia"/>
                <w:szCs w:val="21"/>
              </w:rPr>
              <w:t>第十二条  特殊建设工程未经消防设计审查或者审查不合格的，建设单位、施工单位不得施工；其他建设工程，建设单位未提供满足施工需要的消防设计图纸及技术资料的，有关部门不得发放施工许可证或者批准开工报告。</w:t>
            </w:r>
          </w:p>
          <w:p>
            <w:pPr>
              <w:spacing w:line="280" w:lineRule="exact"/>
              <w:jc w:val="center"/>
              <w:rPr>
                <w:szCs w:val="21"/>
              </w:rPr>
            </w:pPr>
            <w:r>
              <w:rPr>
                <w:rFonts w:hint="eastAsia"/>
                <w:szCs w:val="21"/>
              </w:rPr>
              <w:t>第五十八条第一款 违反本法规定，有下列行为之一的，由住房和城乡建设主管部门、消防救援机构按照各自职权责令停止施工、停止使用或者停产停业，并处三万元以上三十万元以下罚款：</w:t>
            </w:r>
          </w:p>
          <w:p>
            <w:pPr>
              <w:spacing w:line="280" w:lineRule="exact"/>
              <w:jc w:val="center"/>
              <w:rPr>
                <w:szCs w:val="21"/>
              </w:rPr>
            </w:pPr>
            <w:r>
              <w:rPr>
                <w:rFonts w:hint="eastAsia"/>
                <w:szCs w:val="21"/>
              </w:rPr>
              <w:t>（一）依法应当进行消防设计审查的建设工程，未经依法审查或者审查不合格，擅自施工的；</w:t>
            </w:r>
          </w:p>
        </w:tc>
        <w:tc>
          <w:tcPr>
            <w:tcW w:w="765" w:type="dxa"/>
            <w:vAlign w:val="center"/>
          </w:tcPr>
          <w:p>
            <w:pPr>
              <w:spacing w:line="280" w:lineRule="exact"/>
              <w:jc w:val="center"/>
              <w:rPr>
                <w:szCs w:val="21"/>
              </w:rPr>
            </w:pPr>
            <w:r>
              <w:rPr>
                <w:rFonts w:hint="eastAsia"/>
                <w:szCs w:val="21"/>
              </w:rPr>
              <w:t>★★</w:t>
            </w:r>
          </w:p>
        </w:tc>
        <w:tc>
          <w:tcPr>
            <w:tcW w:w="2959" w:type="dxa"/>
            <w:vAlign w:val="center"/>
          </w:tcPr>
          <w:p>
            <w:pPr>
              <w:spacing w:line="280" w:lineRule="exact"/>
              <w:jc w:val="center"/>
              <w:rPr>
                <w:szCs w:val="21"/>
              </w:rPr>
            </w:pPr>
            <w:r>
              <w:rPr>
                <w:rFonts w:hint="eastAsia"/>
                <w:szCs w:val="21"/>
              </w:rPr>
              <w:t>建设单位应当将上述特殊建设工程的消防设计文件报送住房和城乡建设主管部门审查</w:t>
            </w:r>
          </w:p>
        </w:tc>
        <w:tc>
          <w:tcPr>
            <w:tcW w:w="1576" w:type="dxa"/>
            <w:vAlign w:val="center"/>
          </w:tcPr>
          <w:p>
            <w:pPr>
              <w:spacing w:line="280" w:lineRule="exact"/>
              <w:jc w:val="center"/>
              <w:rPr>
                <w:szCs w:val="21"/>
              </w:rPr>
            </w:pPr>
            <w:r>
              <w:rPr>
                <w:szCs w:val="21"/>
              </w:rPr>
              <w:t>区住房和城乡建设局</w:t>
            </w:r>
          </w:p>
          <w:p>
            <w:pPr>
              <w:spacing w:line="280" w:lineRule="exact"/>
              <w:jc w:val="center"/>
              <w:rPr>
                <w:szCs w:val="21"/>
              </w:rPr>
            </w:pPr>
            <w:r>
              <w:rPr>
                <w:szCs w:val="21"/>
              </w:rPr>
              <w:t>行政许可</w:t>
            </w:r>
          </w:p>
          <w:p>
            <w:pPr>
              <w:spacing w:line="280" w:lineRule="exact"/>
              <w:jc w:val="center"/>
              <w:rPr>
                <w:szCs w:val="21"/>
              </w:rPr>
            </w:pPr>
            <w:r>
              <w:rPr>
                <w:szCs w:val="21"/>
              </w:rPr>
              <w:t>服务科</w:t>
            </w:r>
          </w:p>
          <w:p>
            <w:pPr>
              <w:spacing w:line="280" w:lineRule="exact"/>
              <w:jc w:val="center"/>
              <w:rPr>
                <w:szCs w:val="21"/>
              </w:rPr>
            </w:pPr>
            <w:r>
              <w:rPr>
                <w:szCs w:val="21"/>
              </w:rPr>
              <w:t>83158320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26" w:hRule="atLeast"/>
          <w:jc w:val="center"/>
        </w:trPr>
        <w:tc>
          <w:tcPr>
            <w:tcW w:w="879" w:type="dxa"/>
            <w:vAlign w:val="center"/>
          </w:tcPr>
          <w:p>
            <w:pPr>
              <w:spacing w:line="280" w:lineRule="exact"/>
              <w:jc w:val="center"/>
              <w:rPr>
                <w:szCs w:val="21"/>
              </w:rPr>
            </w:pPr>
            <w:r>
              <w:rPr>
                <w:szCs w:val="21"/>
              </w:rPr>
              <w:t>3</w:t>
            </w:r>
          </w:p>
        </w:tc>
        <w:tc>
          <w:tcPr>
            <w:tcW w:w="1774" w:type="dxa"/>
            <w:vAlign w:val="center"/>
          </w:tcPr>
          <w:p>
            <w:pPr>
              <w:spacing w:line="280" w:lineRule="exact"/>
              <w:jc w:val="center"/>
              <w:rPr>
                <w:szCs w:val="21"/>
              </w:rPr>
            </w:pPr>
            <w:r>
              <w:rPr>
                <w:rFonts w:hint="eastAsia"/>
                <w:szCs w:val="21"/>
              </w:rPr>
              <w:t>国务院住房和城乡建设主管部门规定应当申请消防验收的建设工程竣工，建设单位应当向住房和城乡建设主管部门申请消防验收</w:t>
            </w:r>
          </w:p>
        </w:tc>
        <w:tc>
          <w:tcPr>
            <w:tcW w:w="2302" w:type="dxa"/>
            <w:vAlign w:val="center"/>
          </w:tcPr>
          <w:p>
            <w:pPr>
              <w:spacing w:line="280" w:lineRule="exact"/>
              <w:jc w:val="center"/>
              <w:rPr>
                <w:szCs w:val="21"/>
              </w:rPr>
            </w:pPr>
            <w:r>
              <w:rPr>
                <w:rFonts w:hint="eastAsia"/>
                <w:szCs w:val="21"/>
              </w:rPr>
              <w:t>依法应当进行消防验收的建设工程，未经消防验收或者消防验收不合格，擅自投入使用的</w:t>
            </w:r>
          </w:p>
        </w:tc>
        <w:tc>
          <w:tcPr>
            <w:tcW w:w="4337" w:type="dxa"/>
            <w:vAlign w:val="center"/>
          </w:tcPr>
          <w:p>
            <w:pPr>
              <w:spacing w:line="280" w:lineRule="exact"/>
              <w:jc w:val="center"/>
              <w:rPr>
                <w:szCs w:val="21"/>
              </w:rPr>
            </w:pPr>
            <w:r>
              <w:rPr>
                <w:rFonts w:hint="eastAsia"/>
                <w:szCs w:val="21"/>
              </w:rPr>
              <w:t>《中华人民共和国消防法》</w:t>
            </w:r>
          </w:p>
          <w:p>
            <w:pPr>
              <w:spacing w:line="280" w:lineRule="exact"/>
              <w:jc w:val="center"/>
              <w:rPr>
                <w:szCs w:val="21"/>
              </w:rPr>
            </w:pPr>
            <w:r>
              <w:rPr>
                <w:rFonts w:hint="eastAsia"/>
                <w:szCs w:val="21"/>
              </w:rPr>
              <w:t>第十三条第一、三款  国务院住房和城乡建设主管部门规定应当申请消防验收的建设工程竣工，建设单位应当向住房和城乡建设主管部门申请消防验收。</w:t>
            </w:r>
          </w:p>
          <w:p>
            <w:pPr>
              <w:spacing w:line="280" w:lineRule="exact"/>
              <w:jc w:val="center"/>
              <w:rPr>
                <w:szCs w:val="21"/>
              </w:rPr>
            </w:pPr>
            <w:r>
              <w:rPr>
                <w:rFonts w:hint="eastAsia"/>
                <w:szCs w:val="21"/>
              </w:rPr>
              <w:t>依法应当进行消防验收的建设工程，未经消防验收或者消防验收不合格的，禁止投入使用；其他建设工程经依法抽查不合格的，应当停止使用。</w:t>
            </w:r>
          </w:p>
          <w:p>
            <w:pPr>
              <w:spacing w:line="280" w:lineRule="exact"/>
              <w:jc w:val="center"/>
              <w:rPr>
                <w:szCs w:val="21"/>
              </w:rPr>
            </w:pPr>
            <w:r>
              <w:rPr>
                <w:rFonts w:hint="eastAsia"/>
                <w:szCs w:val="21"/>
              </w:rPr>
              <w:t>第五十八条第一款  违反本法规定，有下列行为之一的，由住房和城乡建设主管部门、消防救援机构按照各自职权责令停止施工、停止使用或者停产停业，并处三万元以上三十万元以下罚款：</w:t>
            </w:r>
          </w:p>
          <w:p>
            <w:pPr>
              <w:spacing w:line="280" w:lineRule="exact"/>
              <w:jc w:val="center"/>
              <w:rPr>
                <w:szCs w:val="21"/>
              </w:rPr>
            </w:pPr>
            <w:r>
              <w:rPr>
                <w:rFonts w:hint="eastAsia"/>
                <w:szCs w:val="21"/>
              </w:rPr>
              <w:t>（二）依法应当进行消防验收的建设工程，未经消防验收或者消防验收不合格，擅自投入使用的；</w:t>
            </w:r>
          </w:p>
        </w:tc>
        <w:tc>
          <w:tcPr>
            <w:tcW w:w="765" w:type="dxa"/>
            <w:vAlign w:val="center"/>
          </w:tcPr>
          <w:p>
            <w:pPr>
              <w:spacing w:line="280" w:lineRule="exact"/>
              <w:jc w:val="center"/>
              <w:rPr>
                <w:szCs w:val="21"/>
              </w:rPr>
            </w:pPr>
            <w:r>
              <w:rPr>
                <w:rFonts w:hint="eastAsia"/>
                <w:szCs w:val="21"/>
              </w:rPr>
              <w:t>★★★</w:t>
            </w:r>
          </w:p>
        </w:tc>
        <w:tc>
          <w:tcPr>
            <w:tcW w:w="2959" w:type="dxa"/>
            <w:vAlign w:val="center"/>
          </w:tcPr>
          <w:p>
            <w:pPr>
              <w:spacing w:line="280" w:lineRule="exact"/>
              <w:jc w:val="center"/>
              <w:rPr>
                <w:szCs w:val="21"/>
              </w:rPr>
            </w:pPr>
            <w:r>
              <w:rPr>
                <w:rFonts w:hint="eastAsia"/>
                <w:szCs w:val="21"/>
              </w:rPr>
              <w:t>特殊建设工程竣工后，建设单位应当向住房和城乡建设主管部门申请消防验收</w:t>
            </w:r>
          </w:p>
        </w:tc>
        <w:tc>
          <w:tcPr>
            <w:tcW w:w="1576" w:type="dxa"/>
            <w:vAlign w:val="center"/>
          </w:tcPr>
          <w:p>
            <w:pPr>
              <w:spacing w:line="280" w:lineRule="exact"/>
              <w:jc w:val="center"/>
              <w:rPr>
                <w:szCs w:val="21"/>
              </w:rPr>
            </w:pPr>
            <w:r>
              <w:rPr>
                <w:szCs w:val="21"/>
              </w:rPr>
              <w:t>区住房和城乡建设局</w:t>
            </w:r>
          </w:p>
          <w:p>
            <w:pPr>
              <w:spacing w:line="280" w:lineRule="exact"/>
              <w:jc w:val="center"/>
              <w:rPr>
                <w:szCs w:val="21"/>
              </w:rPr>
            </w:pPr>
            <w:r>
              <w:rPr>
                <w:szCs w:val="21"/>
              </w:rPr>
              <w:t>行政许可</w:t>
            </w:r>
          </w:p>
          <w:p>
            <w:pPr>
              <w:spacing w:line="280" w:lineRule="exact"/>
              <w:jc w:val="center"/>
              <w:rPr>
                <w:szCs w:val="21"/>
              </w:rPr>
            </w:pPr>
            <w:r>
              <w:rPr>
                <w:szCs w:val="21"/>
              </w:rPr>
              <w:t>服务科</w:t>
            </w:r>
          </w:p>
          <w:p>
            <w:pPr>
              <w:spacing w:line="280" w:lineRule="exact"/>
              <w:jc w:val="center"/>
              <w:rPr>
                <w:szCs w:val="21"/>
              </w:rPr>
            </w:pPr>
            <w:r>
              <w:rPr>
                <w:szCs w:val="21"/>
              </w:rPr>
              <w:t>83158320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879" w:type="dxa"/>
            <w:vAlign w:val="center"/>
          </w:tcPr>
          <w:p>
            <w:pPr>
              <w:spacing w:line="280" w:lineRule="exact"/>
              <w:jc w:val="center"/>
              <w:rPr>
                <w:szCs w:val="21"/>
              </w:rPr>
            </w:pPr>
            <w:r>
              <w:rPr>
                <w:szCs w:val="21"/>
              </w:rPr>
              <w:t>4</w:t>
            </w:r>
          </w:p>
        </w:tc>
        <w:tc>
          <w:tcPr>
            <w:tcW w:w="1774" w:type="dxa"/>
            <w:vAlign w:val="center"/>
          </w:tcPr>
          <w:p>
            <w:pPr>
              <w:spacing w:line="280" w:lineRule="exact"/>
              <w:jc w:val="center"/>
              <w:rPr>
                <w:szCs w:val="21"/>
              </w:rPr>
            </w:pPr>
            <w:r>
              <w:rPr>
                <w:rFonts w:hint="eastAsia"/>
                <w:szCs w:val="21"/>
              </w:rPr>
              <w:t>其他建设工程，建设单位在验收后应当报住房和城乡建设主管部门备案</w:t>
            </w:r>
          </w:p>
        </w:tc>
        <w:tc>
          <w:tcPr>
            <w:tcW w:w="2302" w:type="dxa"/>
            <w:vAlign w:val="center"/>
          </w:tcPr>
          <w:p>
            <w:pPr>
              <w:spacing w:line="280" w:lineRule="exact"/>
              <w:jc w:val="center"/>
              <w:rPr>
                <w:szCs w:val="21"/>
              </w:rPr>
            </w:pPr>
            <w:r>
              <w:rPr>
                <w:rFonts w:hint="eastAsia"/>
                <w:szCs w:val="21"/>
              </w:rPr>
              <w:t>未依照消防法规定在验收后报住房和城乡建设主管部门备案的</w:t>
            </w:r>
          </w:p>
        </w:tc>
        <w:tc>
          <w:tcPr>
            <w:tcW w:w="4337" w:type="dxa"/>
            <w:vAlign w:val="center"/>
          </w:tcPr>
          <w:p>
            <w:pPr>
              <w:spacing w:line="280" w:lineRule="exact"/>
              <w:jc w:val="center"/>
              <w:rPr>
                <w:szCs w:val="21"/>
              </w:rPr>
            </w:pPr>
            <w:r>
              <w:rPr>
                <w:rFonts w:hint="eastAsia"/>
                <w:szCs w:val="21"/>
              </w:rPr>
              <w:t>《中华人民共和国消防法》</w:t>
            </w:r>
          </w:p>
          <w:p>
            <w:pPr>
              <w:spacing w:line="280" w:lineRule="exact"/>
              <w:jc w:val="center"/>
              <w:rPr>
                <w:szCs w:val="21"/>
              </w:rPr>
            </w:pPr>
            <w:r>
              <w:rPr>
                <w:rFonts w:hint="eastAsia"/>
                <w:szCs w:val="21"/>
              </w:rPr>
              <w:t>第十三条第一、二款  国务院住房和城乡建设主管部门规定应当申请消防验收的建设工程竣工，建设单位应当向住房和城乡建设主管部门申请消防验收。</w:t>
            </w:r>
          </w:p>
          <w:p>
            <w:pPr>
              <w:spacing w:line="280" w:lineRule="exact"/>
              <w:jc w:val="center"/>
              <w:rPr>
                <w:szCs w:val="21"/>
              </w:rPr>
            </w:pPr>
            <w:r>
              <w:rPr>
                <w:rFonts w:hint="eastAsia"/>
                <w:szCs w:val="21"/>
              </w:rPr>
              <w:t>前款规定以外的其他建设工程，建设单位在验收后应当报住房和城乡建设主管部门备案，住房和城乡建设主管部门应当进行抽查。</w:t>
            </w:r>
          </w:p>
          <w:p>
            <w:pPr>
              <w:spacing w:line="280" w:lineRule="exact"/>
              <w:jc w:val="center"/>
              <w:rPr>
                <w:szCs w:val="21"/>
              </w:rPr>
            </w:pPr>
            <w:r>
              <w:rPr>
                <w:rFonts w:hint="eastAsia"/>
                <w:szCs w:val="21"/>
              </w:rPr>
              <w:t>第五十八条第三款  建设单位未依照本法规定在验收后报住房和城乡建设主管部门备案的，由住房和城乡建设主管部门责令改正，处五千元以下罚款。</w:t>
            </w:r>
          </w:p>
          <w:p>
            <w:pPr>
              <w:spacing w:line="280" w:lineRule="exact"/>
              <w:jc w:val="center"/>
              <w:rPr>
                <w:szCs w:val="21"/>
              </w:rPr>
            </w:pPr>
            <w:r>
              <w:rPr>
                <w:rFonts w:hint="eastAsia"/>
                <w:szCs w:val="21"/>
              </w:rPr>
              <w:t>《建设工程消防设计审查验收管理暂行规定》</w:t>
            </w:r>
          </w:p>
          <w:p>
            <w:pPr>
              <w:spacing w:line="280" w:lineRule="exact"/>
              <w:jc w:val="center"/>
              <w:rPr>
                <w:szCs w:val="21"/>
              </w:rPr>
            </w:pPr>
            <w:r>
              <w:rPr>
                <w:rFonts w:hint="eastAsia"/>
                <w:szCs w:val="21"/>
              </w:rPr>
              <w:t>第二条  特殊建设工程的消防设计审查、消防验收，以及其他建设工程的消防验收备案（以下简称备案）、抽查，适用本规定。</w:t>
            </w:r>
          </w:p>
          <w:p>
            <w:pPr>
              <w:spacing w:line="280" w:lineRule="exact"/>
              <w:jc w:val="center"/>
              <w:rPr>
                <w:szCs w:val="21"/>
              </w:rPr>
            </w:pPr>
            <w:r>
              <w:rPr>
                <w:rFonts w:hint="eastAsia"/>
                <w:szCs w:val="21"/>
              </w:rPr>
              <w:t>本规定所称其他建设工程，是指特殊建设工程以外的其他按照国家工程建设消防技术标准需要进行消防设计的建设工程。</w:t>
            </w:r>
          </w:p>
          <w:p>
            <w:pPr>
              <w:spacing w:line="280" w:lineRule="exact"/>
              <w:jc w:val="center"/>
              <w:rPr>
                <w:szCs w:val="21"/>
              </w:rPr>
            </w:pPr>
            <w:r>
              <w:rPr>
                <w:rFonts w:hint="eastAsia"/>
                <w:szCs w:val="21"/>
              </w:rPr>
              <w:t>第三十四条  其他建设工程竣工验收合格之日起五个工作日内，建设单位应当报消防设计审查验收主管部门备案。建设单位办理备案，应当提交下列材料：</w:t>
            </w:r>
          </w:p>
          <w:p>
            <w:pPr>
              <w:spacing w:line="280" w:lineRule="exact"/>
              <w:jc w:val="center"/>
              <w:rPr>
                <w:szCs w:val="21"/>
              </w:rPr>
            </w:pPr>
            <w:r>
              <w:rPr>
                <w:rFonts w:hint="eastAsia"/>
                <w:szCs w:val="21"/>
              </w:rPr>
              <w:t>（一）消防验收备案表；</w:t>
            </w:r>
          </w:p>
          <w:p>
            <w:pPr>
              <w:spacing w:line="280" w:lineRule="exact"/>
              <w:jc w:val="center"/>
              <w:rPr>
                <w:szCs w:val="21"/>
              </w:rPr>
            </w:pPr>
            <w:r>
              <w:rPr>
                <w:rFonts w:hint="eastAsia"/>
                <w:szCs w:val="21"/>
              </w:rPr>
              <w:t>（二）工程竣工验收报告；</w:t>
            </w:r>
          </w:p>
          <w:p>
            <w:pPr>
              <w:spacing w:line="280" w:lineRule="exact"/>
              <w:jc w:val="center"/>
              <w:rPr>
                <w:szCs w:val="21"/>
              </w:rPr>
            </w:pPr>
            <w:r>
              <w:rPr>
                <w:rFonts w:hint="eastAsia"/>
                <w:szCs w:val="21"/>
              </w:rPr>
              <w:t>（三）涉及消防的建设工程竣工图纸。</w:t>
            </w:r>
          </w:p>
        </w:tc>
        <w:tc>
          <w:tcPr>
            <w:tcW w:w="765" w:type="dxa"/>
            <w:vAlign w:val="center"/>
          </w:tcPr>
          <w:p>
            <w:pPr>
              <w:spacing w:line="280" w:lineRule="exact"/>
              <w:jc w:val="center"/>
              <w:rPr>
                <w:szCs w:val="21"/>
              </w:rPr>
            </w:pPr>
            <w:r>
              <w:rPr>
                <w:rFonts w:hint="eastAsia"/>
                <w:szCs w:val="21"/>
              </w:rPr>
              <w:t>★★★</w:t>
            </w:r>
          </w:p>
        </w:tc>
        <w:tc>
          <w:tcPr>
            <w:tcW w:w="2959" w:type="dxa"/>
            <w:vAlign w:val="center"/>
          </w:tcPr>
          <w:p>
            <w:pPr>
              <w:spacing w:line="280" w:lineRule="exact"/>
              <w:jc w:val="center"/>
              <w:rPr>
                <w:szCs w:val="21"/>
              </w:rPr>
            </w:pPr>
            <w:r>
              <w:rPr>
                <w:rFonts w:hint="eastAsia"/>
                <w:szCs w:val="21"/>
              </w:rPr>
              <w:t>其他建设工程，建设单位在验收后应当报住房和城乡建设主管部门备案</w:t>
            </w:r>
          </w:p>
        </w:tc>
        <w:tc>
          <w:tcPr>
            <w:tcW w:w="1576" w:type="dxa"/>
            <w:vAlign w:val="center"/>
          </w:tcPr>
          <w:p>
            <w:pPr>
              <w:spacing w:line="280" w:lineRule="exact"/>
              <w:jc w:val="center"/>
              <w:rPr>
                <w:szCs w:val="21"/>
              </w:rPr>
            </w:pPr>
            <w:r>
              <w:rPr>
                <w:szCs w:val="21"/>
              </w:rPr>
              <w:t>区住房和城乡建设局</w:t>
            </w:r>
          </w:p>
          <w:p>
            <w:pPr>
              <w:spacing w:line="280" w:lineRule="exact"/>
              <w:jc w:val="center"/>
              <w:rPr>
                <w:szCs w:val="21"/>
              </w:rPr>
            </w:pPr>
            <w:r>
              <w:rPr>
                <w:szCs w:val="21"/>
              </w:rPr>
              <w:t>行政许可</w:t>
            </w:r>
          </w:p>
          <w:p>
            <w:pPr>
              <w:spacing w:line="280" w:lineRule="exact"/>
              <w:jc w:val="center"/>
              <w:rPr>
                <w:szCs w:val="21"/>
              </w:rPr>
            </w:pPr>
            <w:r>
              <w:rPr>
                <w:szCs w:val="21"/>
              </w:rPr>
              <w:t>服务科</w:t>
            </w:r>
          </w:p>
          <w:p>
            <w:pPr>
              <w:spacing w:line="280" w:lineRule="exact"/>
              <w:jc w:val="center"/>
              <w:rPr>
                <w:szCs w:val="21"/>
              </w:rPr>
            </w:pPr>
            <w:r>
              <w:rPr>
                <w:szCs w:val="21"/>
              </w:rPr>
              <w:t>83158320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1" w:hRule="atLeast"/>
          <w:jc w:val="center"/>
        </w:trPr>
        <w:tc>
          <w:tcPr>
            <w:tcW w:w="879" w:type="dxa"/>
            <w:vAlign w:val="center"/>
          </w:tcPr>
          <w:p>
            <w:pPr>
              <w:spacing w:line="280" w:lineRule="exact"/>
              <w:jc w:val="center"/>
              <w:rPr>
                <w:szCs w:val="21"/>
              </w:rPr>
            </w:pPr>
            <w:r>
              <w:rPr>
                <w:szCs w:val="21"/>
              </w:rPr>
              <w:t>5</w:t>
            </w:r>
          </w:p>
        </w:tc>
        <w:tc>
          <w:tcPr>
            <w:tcW w:w="1774" w:type="dxa"/>
            <w:vAlign w:val="center"/>
          </w:tcPr>
          <w:p>
            <w:pPr>
              <w:spacing w:line="280" w:lineRule="exact"/>
              <w:jc w:val="center"/>
              <w:rPr>
                <w:szCs w:val="21"/>
              </w:rPr>
            </w:pPr>
            <w:r>
              <w:rPr>
                <w:rFonts w:hint="eastAsia"/>
                <w:szCs w:val="21"/>
              </w:rPr>
              <w:t>建筑施工企业应当按照消防设计文件和消防技术标准施工</w:t>
            </w:r>
          </w:p>
        </w:tc>
        <w:tc>
          <w:tcPr>
            <w:tcW w:w="2302" w:type="dxa"/>
            <w:vAlign w:val="center"/>
          </w:tcPr>
          <w:p>
            <w:pPr>
              <w:spacing w:line="280" w:lineRule="exact"/>
              <w:jc w:val="center"/>
              <w:rPr>
                <w:szCs w:val="21"/>
              </w:rPr>
            </w:pPr>
            <w:r>
              <w:rPr>
                <w:rFonts w:hint="eastAsia"/>
                <w:szCs w:val="21"/>
              </w:rPr>
              <w:t>建筑施工企业不按照消防设计文件和消防技术标准施工，降低消防施工质量的</w:t>
            </w:r>
          </w:p>
        </w:tc>
        <w:tc>
          <w:tcPr>
            <w:tcW w:w="4337" w:type="dxa"/>
            <w:vAlign w:val="center"/>
          </w:tcPr>
          <w:p>
            <w:pPr>
              <w:spacing w:line="280" w:lineRule="exact"/>
              <w:jc w:val="center"/>
              <w:rPr>
                <w:szCs w:val="21"/>
              </w:rPr>
            </w:pPr>
            <w:r>
              <w:rPr>
                <w:rFonts w:hint="eastAsia"/>
                <w:szCs w:val="21"/>
              </w:rPr>
              <w:t>《中华人民共和国消防法》</w:t>
            </w:r>
          </w:p>
          <w:p>
            <w:pPr>
              <w:spacing w:line="280" w:lineRule="exact"/>
              <w:jc w:val="center"/>
              <w:rPr>
                <w:szCs w:val="21"/>
              </w:rPr>
            </w:pPr>
            <w:r>
              <w:rPr>
                <w:rFonts w:hint="eastAsia"/>
                <w:szCs w:val="21"/>
              </w:rPr>
              <w:t>第九条  建设工程的消防设计、施工必须符合国家工程建设消防技术标准。建设、设计、施工、工程监理等单位依法对建设工程的消防设计、施工质量负责。</w:t>
            </w:r>
          </w:p>
          <w:p>
            <w:pPr>
              <w:spacing w:line="280" w:lineRule="exact"/>
              <w:jc w:val="center"/>
              <w:rPr>
                <w:szCs w:val="21"/>
              </w:rPr>
            </w:pPr>
            <w:r>
              <w:rPr>
                <w:rFonts w:hint="eastAsia"/>
                <w:szCs w:val="21"/>
              </w:rPr>
              <w:t>第二十六条第一款  建筑构件、建筑材料和室内装修、装饰材料的防火性能必须符合国家标准；没有国家标准的，必须符合行业标准。</w:t>
            </w:r>
          </w:p>
          <w:p>
            <w:pPr>
              <w:spacing w:line="280" w:lineRule="exact"/>
              <w:jc w:val="center"/>
              <w:rPr>
                <w:szCs w:val="21"/>
              </w:rPr>
            </w:pPr>
            <w:r>
              <w:rPr>
                <w:rFonts w:hint="eastAsia"/>
                <w:szCs w:val="21"/>
              </w:rPr>
              <w:t>第五十九条  违反本法规定，有下列行为之一的，由住房和城乡建设主管部门责令改正或者停止施工，并处一万元以上十万元以下罚款：（三）建筑施工企业不按照消防设计文件和消防技术标准施工，降低消防施工质量的。</w:t>
            </w:r>
          </w:p>
        </w:tc>
        <w:tc>
          <w:tcPr>
            <w:tcW w:w="765" w:type="dxa"/>
            <w:vAlign w:val="center"/>
          </w:tcPr>
          <w:p>
            <w:pPr>
              <w:spacing w:line="280" w:lineRule="exact"/>
              <w:jc w:val="center"/>
              <w:rPr>
                <w:szCs w:val="21"/>
              </w:rPr>
            </w:pPr>
            <w:r>
              <w:rPr>
                <w:rFonts w:hint="eastAsia"/>
                <w:szCs w:val="21"/>
              </w:rPr>
              <w:t>★★★</w:t>
            </w:r>
          </w:p>
        </w:tc>
        <w:tc>
          <w:tcPr>
            <w:tcW w:w="2959" w:type="dxa"/>
            <w:vAlign w:val="center"/>
          </w:tcPr>
          <w:p>
            <w:pPr>
              <w:spacing w:line="280" w:lineRule="exact"/>
              <w:jc w:val="center"/>
              <w:rPr>
                <w:szCs w:val="21"/>
              </w:rPr>
            </w:pPr>
            <w:r>
              <w:rPr>
                <w:rFonts w:hint="eastAsia"/>
                <w:szCs w:val="21"/>
              </w:rPr>
              <w:t>建设工程的消防施工必须符合国家工程建设消防技术标准。施工单位依法对建设工程的消防施工质量负责</w:t>
            </w:r>
          </w:p>
        </w:tc>
        <w:tc>
          <w:tcPr>
            <w:tcW w:w="1576" w:type="dxa"/>
            <w:vAlign w:val="center"/>
          </w:tcPr>
          <w:p>
            <w:pPr>
              <w:spacing w:line="280" w:lineRule="exact"/>
              <w:jc w:val="center"/>
              <w:rPr>
                <w:szCs w:val="21"/>
              </w:rPr>
            </w:pPr>
            <w:r>
              <w:rPr>
                <w:szCs w:val="21"/>
              </w:rPr>
              <w:t>区住房和城乡建设局</w:t>
            </w:r>
          </w:p>
          <w:p>
            <w:pPr>
              <w:spacing w:line="280" w:lineRule="exact"/>
              <w:jc w:val="center"/>
              <w:rPr>
                <w:szCs w:val="21"/>
              </w:rPr>
            </w:pPr>
            <w:r>
              <w:rPr>
                <w:szCs w:val="21"/>
              </w:rPr>
              <w:t>行政许可</w:t>
            </w:r>
          </w:p>
          <w:p>
            <w:pPr>
              <w:spacing w:line="280" w:lineRule="exact"/>
              <w:jc w:val="center"/>
              <w:rPr>
                <w:szCs w:val="21"/>
              </w:rPr>
            </w:pPr>
            <w:r>
              <w:rPr>
                <w:szCs w:val="21"/>
              </w:rPr>
              <w:t>服务科</w:t>
            </w:r>
          </w:p>
          <w:p>
            <w:pPr>
              <w:spacing w:line="280" w:lineRule="exact"/>
              <w:jc w:val="center"/>
              <w:rPr>
                <w:szCs w:val="21"/>
              </w:rPr>
            </w:pPr>
            <w:r>
              <w:rPr>
                <w:szCs w:val="21"/>
              </w:rPr>
              <w:t>83158320</w:t>
            </w:r>
          </w:p>
        </w:tc>
      </w:tr>
    </w:tbl>
    <w:p>
      <w:pPr>
        <w:widowControl/>
        <w:spacing w:line="300" w:lineRule="exact"/>
        <w:rPr>
          <w:rFonts w:eastAsia="方正楷体_GBK"/>
          <w:szCs w:val="21"/>
        </w:rPr>
      </w:pPr>
      <w:r>
        <w:rPr>
          <w:rFonts w:hint="eastAsia" w:eastAsia="方正楷体_GBK"/>
          <w:szCs w:val="21"/>
        </w:rPr>
        <w:t>备注：</w:t>
      </w:r>
      <w:r>
        <w:rPr>
          <w:rFonts w:eastAsia="方正楷体_GBK"/>
          <w:szCs w:val="21"/>
        </w:rPr>
        <w:t>1.本清单并未涵盖所有违法违规行为；合规建议仅为行政指导，不作为企业免责依据。</w:t>
      </w:r>
    </w:p>
    <w:p>
      <w:pPr>
        <w:widowControl/>
        <w:spacing w:line="300" w:lineRule="exact"/>
        <w:ind w:firstLine="630" w:firstLineChars="300"/>
        <w:rPr>
          <w:rFonts w:eastAsia="方正楷体_GBK"/>
          <w:szCs w:val="21"/>
        </w:rPr>
      </w:pPr>
      <w:r>
        <w:rPr>
          <w:rFonts w:eastAsia="方正楷体_GBK"/>
          <w:szCs w:val="21"/>
        </w:rPr>
        <w:t>2.</w:t>
      </w:r>
      <w:r>
        <w:rPr>
          <w:rFonts w:hint="eastAsia" w:eastAsia="方正楷体_GBK"/>
          <w:szCs w:val="21"/>
        </w:rPr>
        <w:t xml:space="preserve"> 风险等级是指发生频率，发生频率较高的为★★★，发生频率一般的为★★，发生频率较少的为★。</w:t>
      </w:r>
    </w:p>
    <w:p/>
    <w:p/>
    <w:p/>
    <w:p>
      <w:pPr>
        <w:pStyle w:val="2"/>
        <w:ind w:left="0"/>
        <w:rPr>
          <w:rFonts w:ascii="Times New Roman" w:hAnsi="Times New Roman" w:eastAsia="方正楷体_GBK" w:cs="Times New Roman"/>
          <w:sz w:val="21"/>
          <w:szCs w:val="21"/>
        </w:rPr>
      </w:pPr>
    </w:p>
    <w:p>
      <w:pPr>
        <w:pStyle w:val="2"/>
        <w:ind w:left="0"/>
        <w:rPr>
          <w:rFonts w:ascii="Times New Roman" w:hAnsi="Times New Roman" w:eastAsia="方正楷体_GBK" w:cs="Times New Roman"/>
          <w:sz w:val="21"/>
          <w:szCs w:val="21"/>
        </w:rPr>
      </w:pPr>
    </w:p>
    <w:p>
      <w:pPr>
        <w:rPr>
          <w:rFonts w:eastAsia="方正楷体_GBK"/>
          <w:szCs w:val="21"/>
        </w:rPr>
      </w:pPr>
    </w:p>
    <w:p>
      <w:pPr>
        <w:rPr>
          <w:rFonts w:eastAsia="方正楷体_GBK"/>
          <w:szCs w:val="21"/>
        </w:rPr>
      </w:pPr>
    </w:p>
    <w:p>
      <w:pPr>
        <w:rPr>
          <w:rFonts w:eastAsia="方正楷体_GBK"/>
          <w:szCs w:val="21"/>
        </w:rPr>
      </w:pPr>
      <w:r>
        <w:rPr>
          <w:rFonts w:hint="eastAsia" w:eastAsia="方正楷体_GBK"/>
          <w:szCs w:val="21"/>
        </w:rPr>
        <w:t>适用于勘察、设计、施工、监理单位：</w:t>
      </w:r>
    </w:p>
    <w:tbl>
      <w:tblPr>
        <w:tblStyle w:val="6"/>
        <w:tblW w:w="1459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9"/>
        <w:gridCol w:w="1774"/>
        <w:gridCol w:w="2302"/>
        <w:gridCol w:w="4337"/>
        <w:gridCol w:w="765"/>
        <w:gridCol w:w="2959"/>
        <w:gridCol w:w="15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5" w:hRule="atLeast"/>
          <w:tblHeader/>
          <w:jc w:val="center"/>
        </w:trPr>
        <w:tc>
          <w:tcPr>
            <w:tcW w:w="879" w:type="dxa"/>
            <w:vAlign w:val="center"/>
          </w:tcPr>
          <w:p>
            <w:pPr>
              <w:spacing w:line="280" w:lineRule="exact"/>
              <w:jc w:val="center"/>
              <w:rPr>
                <w:rFonts w:ascii="方正黑体_GBK" w:eastAsia="方正黑体_GBK"/>
                <w:sz w:val="24"/>
                <w:szCs w:val="24"/>
              </w:rPr>
            </w:pPr>
            <w:r>
              <w:rPr>
                <w:rFonts w:hint="eastAsia" w:ascii="方正黑体_GBK" w:hAnsi="黑体" w:eastAsia="方正黑体_GBK"/>
                <w:szCs w:val="21"/>
              </w:rPr>
              <w:t>序号</w:t>
            </w:r>
          </w:p>
        </w:tc>
        <w:tc>
          <w:tcPr>
            <w:tcW w:w="1774" w:type="dxa"/>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行政合规</w:t>
            </w:r>
          </w:p>
          <w:p>
            <w:pPr>
              <w:spacing w:line="280" w:lineRule="exact"/>
              <w:jc w:val="center"/>
              <w:rPr>
                <w:rFonts w:ascii="方正黑体_GBK" w:eastAsia="方正黑体_GBK"/>
                <w:sz w:val="24"/>
                <w:szCs w:val="24"/>
              </w:rPr>
            </w:pPr>
            <w:r>
              <w:rPr>
                <w:rFonts w:hint="eastAsia" w:ascii="方正黑体_GBK" w:hAnsi="黑体" w:eastAsia="方正黑体_GBK"/>
                <w:szCs w:val="21"/>
              </w:rPr>
              <w:t>事项</w:t>
            </w:r>
          </w:p>
        </w:tc>
        <w:tc>
          <w:tcPr>
            <w:tcW w:w="2302" w:type="dxa"/>
            <w:vAlign w:val="center"/>
          </w:tcPr>
          <w:p>
            <w:pPr>
              <w:spacing w:line="280" w:lineRule="exact"/>
              <w:jc w:val="center"/>
              <w:rPr>
                <w:rFonts w:ascii="方正黑体_GBK" w:eastAsia="方正黑体_GBK"/>
                <w:sz w:val="24"/>
                <w:szCs w:val="24"/>
              </w:rPr>
            </w:pPr>
            <w:r>
              <w:rPr>
                <w:rFonts w:hint="eastAsia" w:ascii="方正黑体_GBK" w:hAnsi="黑体" w:eastAsia="方正黑体_GBK"/>
                <w:szCs w:val="21"/>
              </w:rPr>
              <w:t>常见违法行为表现</w:t>
            </w:r>
          </w:p>
        </w:tc>
        <w:tc>
          <w:tcPr>
            <w:tcW w:w="4337" w:type="dxa"/>
            <w:vAlign w:val="center"/>
          </w:tcPr>
          <w:p>
            <w:pPr>
              <w:spacing w:line="280" w:lineRule="exact"/>
              <w:jc w:val="center"/>
              <w:rPr>
                <w:rFonts w:ascii="方正黑体_GBK" w:eastAsia="方正黑体_GBK"/>
                <w:sz w:val="24"/>
                <w:szCs w:val="24"/>
              </w:rPr>
            </w:pPr>
            <w:r>
              <w:rPr>
                <w:rFonts w:hint="eastAsia" w:ascii="方正黑体_GBK" w:hAnsi="黑体" w:eastAsia="方正黑体_GBK"/>
                <w:szCs w:val="21"/>
              </w:rPr>
              <w:t>法律依据及违法责任</w:t>
            </w:r>
          </w:p>
        </w:tc>
        <w:tc>
          <w:tcPr>
            <w:tcW w:w="765" w:type="dxa"/>
            <w:vAlign w:val="center"/>
          </w:tcPr>
          <w:p>
            <w:pPr>
              <w:spacing w:line="280" w:lineRule="exact"/>
              <w:jc w:val="center"/>
              <w:rPr>
                <w:rFonts w:ascii="方正黑体_GBK" w:eastAsia="方正黑体_GBK"/>
                <w:sz w:val="24"/>
                <w:szCs w:val="24"/>
              </w:rPr>
            </w:pPr>
            <w:r>
              <w:rPr>
                <w:rFonts w:hint="eastAsia" w:ascii="方正黑体_GBK" w:hAnsi="黑体" w:eastAsia="方正黑体_GBK"/>
                <w:szCs w:val="21"/>
              </w:rPr>
              <w:t>风险等级</w:t>
            </w:r>
          </w:p>
        </w:tc>
        <w:tc>
          <w:tcPr>
            <w:tcW w:w="2959" w:type="dxa"/>
            <w:vAlign w:val="center"/>
          </w:tcPr>
          <w:p>
            <w:pPr>
              <w:spacing w:line="280" w:lineRule="exact"/>
              <w:jc w:val="center"/>
              <w:rPr>
                <w:rFonts w:ascii="方正黑体_GBK" w:eastAsia="方正黑体_GBK"/>
                <w:sz w:val="24"/>
                <w:szCs w:val="24"/>
              </w:rPr>
            </w:pPr>
            <w:r>
              <w:rPr>
                <w:rFonts w:hint="eastAsia" w:ascii="方正黑体_GBK" w:hAnsi="黑体" w:eastAsia="方正黑体_GBK"/>
                <w:szCs w:val="21"/>
              </w:rPr>
              <w:t>合规建议</w:t>
            </w:r>
          </w:p>
        </w:tc>
        <w:tc>
          <w:tcPr>
            <w:tcW w:w="1576" w:type="dxa"/>
            <w:vAlign w:val="center"/>
          </w:tcPr>
          <w:p>
            <w:pPr>
              <w:spacing w:line="280" w:lineRule="exact"/>
              <w:jc w:val="center"/>
              <w:rPr>
                <w:rFonts w:ascii="方正黑体_GBK" w:eastAsia="方正黑体_GBK"/>
                <w:sz w:val="24"/>
                <w:szCs w:val="24"/>
              </w:rPr>
            </w:pPr>
            <w:r>
              <w:rPr>
                <w:rFonts w:hint="eastAsia" w:ascii="方正黑体_GBK" w:hAnsi="黑体" w:eastAsia="方正黑体_GBK"/>
                <w:szCs w:val="21"/>
              </w:rPr>
              <w:t>指导部门（科室）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vAlign w:val="center"/>
          </w:tcPr>
          <w:p>
            <w:pPr>
              <w:spacing w:line="280" w:lineRule="exact"/>
              <w:jc w:val="center"/>
              <w:rPr>
                <w:szCs w:val="21"/>
              </w:rPr>
            </w:pPr>
            <w:r>
              <w:rPr>
                <w:szCs w:val="21"/>
              </w:rPr>
              <w:t>1</w:t>
            </w:r>
          </w:p>
        </w:tc>
        <w:tc>
          <w:tcPr>
            <w:tcW w:w="1774" w:type="dxa"/>
            <w:vAlign w:val="center"/>
          </w:tcPr>
          <w:p>
            <w:pPr>
              <w:spacing w:line="280" w:lineRule="exact"/>
              <w:jc w:val="center"/>
              <w:rPr>
                <w:szCs w:val="21"/>
              </w:rPr>
            </w:pPr>
            <w:r>
              <w:rPr>
                <w:rFonts w:hint="eastAsia"/>
                <w:szCs w:val="21"/>
              </w:rPr>
              <w:t>施工单位在施工中不偷工减料，不使用不合格的建筑材料、建筑构配件和设备；施工单位要严格按照工程设计图纸或者施工技术标准施工</w:t>
            </w:r>
          </w:p>
        </w:tc>
        <w:tc>
          <w:tcPr>
            <w:tcW w:w="2302" w:type="dxa"/>
            <w:vAlign w:val="center"/>
          </w:tcPr>
          <w:p>
            <w:pPr>
              <w:spacing w:line="280" w:lineRule="exact"/>
              <w:jc w:val="center"/>
              <w:rPr>
                <w:szCs w:val="21"/>
              </w:rPr>
            </w:pPr>
            <w:r>
              <w:rPr>
                <w:rFonts w:hint="eastAsia"/>
                <w:szCs w:val="21"/>
              </w:rPr>
              <w:t>施工单位在施工中偷工减料，使用不合格的建筑材料、建筑构配件和设备，或者有不按照工程设计图纸或者施工技术标准施工的其他行为</w:t>
            </w:r>
          </w:p>
        </w:tc>
        <w:tc>
          <w:tcPr>
            <w:tcW w:w="4337" w:type="dxa"/>
            <w:vAlign w:val="center"/>
          </w:tcPr>
          <w:p>
            <w:pPr>
              <w:spacing w:line="280" w:lineRule="exact"/>
              <w:jc w:val="center"/>
              <w:rPr>
                <w:szCs w:val="21"/>
              </w:rPr>
            </w:pPr>
            <w:r>
              <w:rPr>
                <w:rFonts w:hint="eastAsia"/>
                <w:szCs w:val="21"/>
              </w:rPr>
              <w:t>【行政法规】《建设工程质量管理条例》（</w:t>
            </w:r>
            <w:r>
              <w:rPr>
                <w:szCs w:val="21"/>
              </w:rPr>
              <w:t>2019 修订）</w:t>
            </w:r>
          </w:p>
          <w:p>
            <w:pPr>
              <w:spacing w:line="280" w:lineRule="exact"/>
              <w:jc w:val="center"/>
              <w:rPr>
                <w:szCs w:val="21"/>
              </w:rPr>
            </w:pPr>
            <w:r>
              <w:rPr>
                <w:szCs w:val="21"/>
              </w:rPr>
              <w:t>第二十八条第一款 施工单位必须按照工程设计图纸和施工技术标准施工，不得擅自修改工程设计，不得偷工减料。</w:t>
            </w:r>
          </w:p>
          <w:p>
            <w:pPr>
              <w:spacing w:line="280" w:lineRule="exact"/>
              <w:jc w:val="center"/>
              <w:rPr>
                <w:szCs w:val="21"/>
              </w:rPr>
            </w:pPr>
            <w:r>
              <w:rPr>
                <w:szCs w:val="21"/>
              </w:rPr>
              <w:t>第二十九条 施工单位必须按照工程设计要求、施工技术标准</w:t>
            </w:r>
          </w:p>
          <w:p>
            <w:pPr>
              <w:spacing w:line="280" w:lineRule="exact"/>
              <w:jc w:val="center"/>
              <w:rPr>
                <w:szCs w:val="21"/>
              </w:rPr>
            </w:pPr>
            <w:r>
              <w:rPr>
                <w:szCs w:val="21"/>
              </w:rPr>
              <w:t>和合同约定，对建筑材料、建筑构配件、设备和商品混凝土进行检验，检验应当有书面记录和专人签字；未经检验或者检验不合格的，不得使用。</w:t>
            </w:r>
          </w:p>
          <w:p>
            <w:pPr>
              <w:spacing w:line="280" w:lineRule="exact"/>
              <w:jc w:val="center"/>
              <w:rPr>
                <w:szCs w:val="21"/>
              </w:rPr>
            </w:pPr>
            <w:r>
              <w:rPr>
                <w:szCs w:val="21"/>
              </w:rPr>
              <w:t>第六十四条 违反本条例规定，施工单位在施工中偷工减料的，使用不合格的建筑材料、建筑构配件和设备的，或者有不按照工</w:t>
            </w:r>
          </w:p>
          <w:p>
            <w:pPr>
              <w:spacing w:line="280" w:lineRule="exact"/>
              <w:jc w:val="center"/>
              <w:rPr>
                <w:szCs w:val="21"/>
              </w:rPr>
            </w:pPr>
            <w:r>
              <w:rPr>
                <w:szCs w:val="21"/>
              </w:rPr>
              <w:t>程设计图纸或者施工技术标准施工的其他行为的，责令改正，处工程合同价款2％以上4％以下的罚款</w:t>
            </w:r>
            <w:r>
              <w:rPr>
                <w:rFonts w:hint="eastAsia"/>
                <w:szCs w:val="21"/>
              </w:rPr>
              <w:t>；造成建设工程质量不符合规定的质量标准的，负责返工、修理，并赔偿因此造成的损失；情节严重的，责令停业整顿，降低资质等级或者吊销资质证书。</w:t>
            </w:r>
          </w:p>
        </w:tc>
        <w:tc>
          <w:tcPr>
            <w:tcW w:w="765" w:type="dxa"/>
            <w:vAlign w:val="center"/>
          </w:tcPr>
          <w:p>
            <w:pPr>
              <w:spacing w:line="280" w:lineRule="exact"/>
              <w:jc w:val="center"/>
              <w:rPr>
                <w:szCs w:val="21"/>
              </w:rPr>
            </w:pPr>
            <w:r>
              <w:rPr>
                <w:rFonts w:hint="eastAsia"/>
                <w:szCs w:val="21"/>
              </w:rPr>
              <w:t>★★★</w:t>
            </w:r>
          </w:p>
        </w:tc>
        <w:tc>
          <w:tcPr>
            <w:tcW w:w="2959" w:type="dxa"/>
            <w:vAlign w:val="center"/>
          </w:tcPr>
          <w:p>
            <w:pPr>
              <w:spacing w:line="280" w:lineRule="exact"/>
              <w:jc w:val="center"/>
              <w:rPr>
                <w:szCs w:val="21"/>
              </w:rPr>
            </w:pPr>
            <w:r>
              <w:rPr>
                <w:rFonts w:hint="eastAsia"/>
                <w:szCs w:val="21"/>
              </w:rPr>
              <w:t>施工单位在施工中不偷工减料，不使用不合格的建筑材料、建筑构配件和设备。施工单位要严格按照工程设计图纸或者施工技术</w:t>
            </w:r>
          </w:p>
          <w:p>
            <w:pPr>
              <w:spacing w:line="280" w:lineRule="exact"/>
              <w:jc w:val="center"/>
              <w:rPr>
                <w:szCs w:val="21"/>
              </w:rPr>
            </w:pPr>
            <w:r>
              <w:rPr>
                <w:rFonts w:hint="eastAsia"/>
                <w:szCs w:val="21"/>
              </w:rPr>
              <w:t>标准施工</w:t>
            </w:r>
          </w:p>
        </w:tc>
        <w:tc>
          <w:tcPr>
            <w:tcW w:w="1576" w:type="dxa"/>
            <w:vAlign w:val="center"/>
          </w:tcPr>
          <w:p>
            <w:pPr>
              <w:spacing w:line="280" w:lineRule="exact"/>
              <w:jc w:val="center"/>
              <w:rPr>
                <w:szCs w:val="21"/>
              </w:rPr>
            </w:pPr>
            <w:r>
              <w:rPr>
                <w:szCs w:val="21"/>
              </w:rPr>
              <w:t>梁溪区建设工程质量安全监督站</w:t>
            </w:r>
          </w:p>
          <w:p>
            <w:pPr>
              <w:spacing w:line="280" w:lineRule="exact"/>
              <w:jc w:val="center"/>
              <w:rPr>
                <w:szCs w:val="21"/>
              </w:rPr>
            </w:pPr>
            <w:r>
              <w:rPr>
                <w:szCs w:val="21"/>
              </w:rPr>
              <w:t>83158134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vAlign w:val="center"/>
          </w:tcPr>
          <w:p>
            <w:pPr>
              <w:spacing w:line="280" w:lineRule="exact"/>
              <w:jc w:val="center"/>
              <w:rPr>
                <w:szCs w:val="21"/>
              </w:rPr>
            </w:pPr>
            <w:r>
              <w:rPr>
                <w:szCs w:val="21"/>
              </w:rPr>
              <w:t>2</w:t>
            </w:r>
          </w:p>
        </w:tc>
        <w:tc>
          <w:tcPr>
            <w:tcW w:w="1774" w:type="dxa"/>
            <w:vAlign w:val="center"/>
          </w:tcPr>
          <w:p>
            <w:pPr>
              <w:spacing w:line="280" w:lineRule="exact"/>
              <w:jc w:val="center"/>
              <w:rPr>
                <w:szCs w:val="21"/>
              </w:rPr>
            </w:pPr>
            <w:r>
              <w:rPr>
                <w:rFonts w:hint="eastAsia"/>
                <w:szCs w:val="21"/>
              </w:rPr>
              <w:t>施工单位必须为从业人员提供符合国家标准或者行业标准的劳动防护用品，并监督、教育从业人员按照使用规则佩戴、使用</w:t>
            </w:r>
          </w:p>
        </w:tc>
        <w:tc>
          <w:tcPr>
            <w:tcW w:w="2302" w:type="dxa"/>
            <w:vAlign w:val="center"/>
          </w:tcPr>
          <w:p>
            <w:pPr>
              <w:spacing w:line="280" w:lineRule="exact"/>
              <w:jc w:val="center"/>
              <w:rPr>
                <w:szCs w:val="21"/>
              </w:rPr>
            </w:pPr>
            <w:r>
              <w:rPr>
                <w:rFonts w:hint="eastAsia"/>
                <w:szCs w:val="21"/>
              </w:rPr>
              <w:t>施工单位未从业人员提供符合国家标准或者行业标准的劳动防护用品，或者提供了劳动防护用品未监督、教育其按照使用规则佩戴、使用</w:t>
            </w:r>
          </w:p>
        </w:tc>
        <w:tc>
          <w:tcPr>
            <w:tcW w:w="4337" w:type="dxa"/>
            <w:vAlign w:val="center"/>
          </w:tcPr>
          <w:p>
            <w:pPr>
              <w:spacing w:line="280" w:lineRule="exact"/>
              <w:jc w:val="center"/>
              <w:rPr>
                <w:szCs w:val="21"/>
              </w:rPr>
            </w:pPr>
            <w:r>
              <w:rPr>
                <w:rFonts w:hint="eastAsia"/>
                <w:szCs w:val="21"/>
              </w:rPr>
              <w:t>《中华人民共和国安全生产法》</w:t>
            </w:r>
          </w:p>
          <w:p>
            <w:pPr>
              <w:spacing w:line="280" w:lineRule="exact"/>
              <w:jc w:val="center"/>
              <w:rPr>
                <w:szCs w:val="21"/>
              </w:rPr>
            </w:pPr>
            <w:r>
              <w:rPr>
                <w:rFonts w:hint="eastAsia"/>
                <w:szCs w:val="21"/>
              </w:rPr>
              <w:t>第四十五条 生产经营单位必须为从业人员提供符合国家标准或者行业标准的劳动防护用品，并监督、教育从业人员按照使用规则佩戴、使用。</w:t>
            </w:r>
          </w:p>
          <w:p>
            <w:pPr>
              <w:spacing w:line="280" w:lineRule="exact"/>
              <w:jc w:val="center"/>
              <w:rPr>
                <w:szCs w:val="21"/>
              </w:rPr>
            </w:pPr>
            <w:r>
              <w:rPr>
                <w:rFonts w:hint="eastAsia"/>
                <w:szCs w:val="21"/>
              </w:rPr>
              <w:t>《建筑施工作业劳动防护用品配备及使用标准》</w:t>
            </w:r>
            <w:r>
              <w:rPr>
                <w:szCs w:val="21"/>
              </w:rPr>
              <w:t>JGJ184-2009 2.0.4 进入施工现场人员必须佩戴安全帽。作业人员必须戴安全帽、穿工作鞋和工作服；应按作业要求正确使用劳</w:t>
            </w:r>
            <w:r>
              <w:rPr>
                <w:rFonts w:hint="eastAsia"/>
                <w:szCs w:val="21"/>
              </w:rPr>
              <w:t>动防护用品。在</w:t>
            </w:r>
            <w:r>
              <w:rPr>
                <w:szCs w:val="21"/>
              </w:rPr>
              <w:t>2m及</w:t>
            </w:r>
            <w:r>
              <w:rPr>
                <w:rFonts w:hint="eastAsia"/>
                <w:szCs w:val="21"/>
              </w:rPr>
              <w:t>以上的无可靠安全防护设施的高处、悬崖和陡坡作业时，必须系挂安全带。</w:t>
            </w:r>
          </w:p>
          <w:p>
            <w:pPr>
              <w:spacing w:line="280" w:lineRule="exact"/>
              <w:jc w:val="center"/>
              <w:rPr>
                <w:szCs w:val="21"/>
              </w:rPr>
            </w:pPr>
            <w:r>
              <w:rPr>
                <w:rFonts w:hint="eastAsia"/>
                <w:szCs w:val="21"/>
              </w:rPr>
              <w:t>《安全生产违法行为行政处罚办法》</w:t>
            </w:r>
          </w:p>
          <w:p>
            <w:pPr>
              <w:spacing w:line="280" w:lineRule="exact"/>
              <w:jc w:val="center"/>
              <w:rPr>
                <w:szCs w:val="21"/>
              </w:rPr>
            </w:pPr>
            <w:r>
              <w:rPr>
                <w:rFonts w:hint="eastAsia"/>
                <w:szCs w:val="21"/>
              </w:rPr>
              <w:t>第四十五条 生产经营单位及其主要负责人或者其他人员有下列行为之一的，给予警告，并可以对生产经营单位处</w:t>
            </w:r>
            <w:r>
              <w:rPr>
                <w:szCs w:val="21"/>
              </w:rPr>
              <w:t>1万元以上3万元以下罚款，对其主要负责人、其他有关人员处1千元以上1</w:t>
            </w:r>
            <w:r>
              <w:rPr>
                <w:rFonts w:hint="eastAsia"/>
                <w:szCs w:val="21"/>
              </w:rPr>
              <w:t>万元以下的罚款：</w:t>
            </w:r>
          </w:p>
          <w:p>
            <w:pPr>
              <w:spacing w:line="280" w:lineRule="exact"/>
              <w:jc w:val="center"/>
              <w:rPr>
                <w:szCs w:val="21"/>
              </w:rPr>
            </w:pPr>
            <w:r>
              <w:rPr>
                <w:rFonts w:hint="eastAsia"/>
                <w:szCs w:val="21"/>
              </w:rPr>
              <w:t>（一）违反操作规程或者安全管理规定作业的；</w:t>
            </w:r>
          </w:p>
        </w:tc>
        <w:tc>
          <w:tcPr>
            <w:tcW w:w="765" w:type="dxa"/>
            <w:vAlign w:val="center"/>
          </w:tcPr>
          <w:p>
            <w:pPr>
              <w:spacing w:line="280" w:lineRule="exact"/>
              <w:jc w:val="center"/>
              <w:rPr>
                <w:szCs w:val="21"/>
              </w:rPr>
            </w:pPr>
            <w:r>
              <w:rPr>
                <w:rFonts w:hint="eastAsia"/>
                <w:szCs w:val="21"/>
              </w:rPr>
              <w:t>★★★</w:t>
            </w:r>
          </w:p>
        </w:tc>
        <w:tc>
          <w:tcPr>
            <w:tcW w:w="2959" w:type="dxa"/>
            <w:vAlign w:val="center"/>
          </w:tcPr>
          <w:p>
            <w:pPr>
              <w:spacing w:line="280" w:lineRule="exact"/>
              <w:jc w:val="center"/>
              <w:rPr>
                <w:szCs w:val="21"/>
              </w:rPr>
            </w:pPr>
            <w:r>
              <w:rPr>
                <w:rFonts w:hint="eastAsia"/>
                <w:szCs w:val="21"/>
              </w:rPr>
              <w:t>进入施工现场人员必须佩戴安全帽。作业人员必须戴安全帽、穿</w:t>
            </w:r>
          </w:p>
          <w:p>
            <w:pPr>
              <w:spacing w:line="280" w:lineRule="exact"/>
              <w:jc w:val="center"/>
              <w:rPr>
                <w:szCs w:val="21"/>
              </w:rPr>
            </w:pPr>
            <w:r>
              <w:rPr>
                <w:rFonts w:hint="eastAsia"/>
                <w:szCs w:val="21"/>
              </w:rPr>
              <w:t>工作鞋和工作服；应按作业要求正确使用劳动</w:t>
            </w:r>
            <w:r>
              <w:rPr>
                <w:szCs w:val="21"/>
              </w:rPr>
              <w:t>防护用品。在2m</w:t>
            </w:r>
            <w:r>
              <w:rPr>
                <w:rFonts w:hint="eastAsia"/>
                <w:szCs w:val="21"/>
              </w:rPr>
              <w:t>及以上的无可靠安全防护设施的高处、悬崖和陡坡作业时，必</w:t>
            </w:r>
          </w:p>
          <w:p>
            <w:pPr>
              <w:spacing w:line="280" w:lineRule="exact"/>
              <w:jc w:val="center"/>
              <w:rPr>
                <w:szCs w:val="21"/>
              </w:rPr>
            </w:pPr>
            <w:r>
              <w:rPr>
                <w:rFonts w:hint="eastAsia"/>
                <w:szCs w:val="21"/>
              </w:rPr>
              <w:t>须系挂安全带。施工单位应做好监督、教育工作</w:t>
            </w:r>
          </w:p>
        </w:tc>
        <w:tc>
          <w:tcPr>
            <w:tcW w:w="1576" w:type="dxa"/>
            <w:vAlign w:val="center"/>
          </w:tcPr>
          <w:p>
            <w:pPr>
              <w:spacing w:line="280" w:lineRule="exact"/>
              <w:jc w:val="center"/>
              <w:rPr>
                <w:szCs w:val="21"/>
              </w:rPr>
            </w:pPr>
            <w:r>
              <w:rPr>
                <w:szCs w:val="21"/>
              </w:rPr>
              <w:t>梁溪区建设工程质量安全监督站</w:t>
            </w:r>
          </w:p>
          <w:p>
            <w:pPr>
              <w:spacing w:line="280" w:lineRule="exact"/>
              <w:jc w:val="center"/>
              <w:rPr>
                <w:szCs w:val="21"/>
              </w:rPr>
            </w:pPr>
            <w:r>
              <w:rPr>
                <w:szCs w:val="21"/>
              </w:rPr>
              <w:t>83158134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tcPr>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p>
          <w:p>
            <w:pPr>
              <w:spacing w:line="280" w:lineRule="exact"/>
              <w:jc w:val="center"/>
              <w:rPr>
                <w:szCs w:val="21"/>
              </w:rPr>
            </w:pPr>
            <w:r>
              <w:rPr>
                <w:szCs w:val="21"/>
              </w:rPr>
              <w:t>3</w:t>
            </w:r>
          </w:p>
        </w:tc>
        <w:tc>
          <w:tcPr>
            <w:tcW w:w="1774" w:type="dxa"/>
            <w:vAlign w:val="center"/>
          </w:tcPr>
          <w:p>
            <w:pPr>
              <w:spacing w:line="280" w:lineRule="exact"/>
              <w:jc w:val="center"/>
              <w:rPr>
                <w:szCs w:val="21"/>
              </w:rPr>
            </w:pPr>
            <w:r>
              <w:rPr>
                <w:rFonts w:hint="eastAsia"/>
                <w:szCs w:val="21"/>
              </w:rPr>
              <w:t>施工单位配备的项目经理不得擅自变更或者离岗</w:t>
            </w:r>
          </w:p>
        </w:tc>
        <w:tc>
          <w:tcPr>
            <w:tcW w:w="2302" w:type="dxa"/>
            <w:vAlign w:val="center"/>
          </w:tcPr>
          <w:p>
            <w:pPr>
              <w:spacing w:line="280" w:lineRule="exact"/>
              <w:jc w:val="center"/>
              <w:rPr>
                <w:szCs w:val="21"/>
              </w:rPr>
            </w:pPr>
            <w:r>
              <w:rPr>
                <w:rFonts w:hint="eastAsia"/>
                <w:szCs w:val="21"/>
              </w:rPr>
              <w:t>施工单位配备的项目经理擅自变更或者离岗</w:t>
            </w:r>
          </w:p>
        </w:tc>
        <w:tc>
          <w:tcPr>
            <w:tcW w:w="4337" w:type="dxa"/>
          </w:tcPr>
          <w:p>
            <w:pPr>
              <w:spacing w:line="280" w:lineRule="exact"/>
              <w:jc w:val="center"/>
              <w:rPr>
                <w:szCs w:val="21"/>
              </w:rPr>
            </w:pPr>
            <w:r>
              <w:rPr>
                <w:rFonts w:hint="eastAsia"/>
                <w:szCs w:val="21"/>
              </w:rPr>
              <w:t>【地方政府规章】《江苏省房屋建筑和市政基础设施工程质量监督管理办法》第十九条 施工单位应当履行下列工程质量义务：</w:t>
            </w:r>
          </w:p>
          <w:p>
            <w:pPr>
              <w:spacing w:line="280" w:lineRule="exact"/>
              <w:jc w:val="center"/>
              <w:rPr>
                <w:szCs w:val="21"/>
              </w:rPr>
            </w:pPr>
            <w:r>
              <w:rPr>
                <w:rFonts w:hint="eastAsia"/>
                <w:szCs w:val="21"/>
              </w:rPr>
              <w:t>（一）按照规定配备相应的工程项目管理人员、检测仪器并规范标准，项目经理不得擅自变更和离岗，现场质量检查员应当由施工单位直接派驻，并对施工单位负责。</w:t>
            </w:r>
          </w:p>
          <w:p>
            <w:pPr>
              <w:spacing w:line="280" w:lineRule="exact"/>
              <w:jc w:val="center"/>
              <w:rPr>
                <w:szCs w:val="21"/>
              </w:rPr>
            </w:pPr>
            <w:r>
              <w:rPr>
                <w:rFonts w:hint="eastAsia"/>
                <w:szCs w:val="21"/>
              </w:rPr>
              <w:t>第二十五条第（二）项 违反本办法第十九条规定，施工单位有下列</w:t>
            </w:r>
            <w:r>
              <w:rPr>
                <w:szCs w:val="21"/>
              </w:rPr>
              <w:t>行为之一的，由住房和城乡建设行政主管部门责令改正，并可处5000元以上3万</w:t>
            </w:r>
            <w:r>
              <w:rPr>
                <w:rFonts w:hint="eastAsia"/>
                <w:szCs w:val="21"/>
              </w:rPr>
              <w:t>元以下罚款：</w:t>
            </w:r>
          </w:p>
          <w:p>
            <w:pPr>
              <w:spacing w:line="280" w:lineRule="exact"/>
              <w:jc w:val="center"/>
              <w:rPr>
                <w:szCs w:val="21"/>
              </w:rPr>
            </w:pPr>
            <w:r>
              <w:rPr>
                <w:rFonts w:hint="eastAsia"/>
                <w:szCs w:val="21"/>
              </w:rPr>
              <w:t>（二）项目经理擅自变更或者离岗的。</w:t>
            </w:r>
          </w:p>
        </w:tc>
        <w:tc>
          <w:tcPr>
            <w:tcW w:w="765" w:type="dxa"/>
            <w:vAlign w:val="center"/>
          </w:tcPr>
          <w:p>
            <w:pPr>
              <w:spacing w:line="280" w:lineRule="exact"/>
              <w:jc w:val="center"/>
              <w:rPr>
                <w:szCs w:val="21"/>
              </w:rPr>
            </w:pPr>
            <w:r>
              <w:rPr>
                <w:rFonts w:hint="eastAsia"/>
                <w:szCs w:val="21"/>
              </w:rPr>
              <w:t>★★★</w:t>
            </w:r>
          </w:p>
        </w:tc>
        <w:tc>
          <w:tcPr>
            <w:tcW w:w="2959" w:type="dxa"/>
            <w:vAlign w:val="center"/>
          </w:tcPr>
          <w:p>
            <w:pPr>
              <w:spacing w:line="280" w:lineRule="exact"/>
              <w:jc w:val="center"/>
              <w:rPr>
                <w:szCs w:val="21"/>
              </w:rPr>
            </w:pPr>
            <w:r>
              <w:rPr>
                <w:rFonts w:hint="eastAsia"/>
                <w:szCs w:val="21"/>
              </w:rPr>
              <w:t>施工单位配备的项目经理不得擅自变更或</w:t>
            </w:r>
          </w:p>
          <w:p>
            <w:pPr>
              <w:spacing w:line="280" w:lineRule="exact"/>
              <w:jc w:val="center"/>
              <w:rPr>
                <w:szCs w:val="21"/>
              </w:rPr>
            </w:pPr>
            <w:r>
              <w:rPr>
                <w:rFonts w:hint="eastAsia"/>
                <w:szCs w:val="21"/>
              </w:rPr>
              <w:t>者离岗</w:t>
            </w:r>
          </w:p>
        </w:tc>
        <w:tc>
          <w:tcPr>
            <w:tcW w:w="1576" w:type="dxa"/>
          </w:tcPr>
          <w:p>
            <w:pPr>
              <w:spacing w:line="280" w:lineRule="exact"/>
              <w:jc w:val="center"/>
              <w:rPr>
                <w:szCs w:val="21"/>
              </w:rPr>
            </w:pPr>
          </w:p>
          <w:p>
            <w:pPr>
              <w:spacing w:line="280" w:lineRule="exact"/>
              <w:jc w:val="center"/>
              <w:rPr>
                <w:szCs w:val="21"/>
              </w:rPr>
            </w:pPr>
          </w:p>
          <w:p>
            <w:pPr>
              <w:spacing w:line="280" w:lineRule="exact"/>
              <w:jc w:val="center"/>
              <w:rPr>
                <w:szCs w:val="21"/>
              </w:rPr>
            </w:pPr>
            <w:r>
              <w:rPr>
                <w:szCs w:val="21"/>
              </w:rPr>
              <w:t>梁溪区建设工程质量安全监督站</w:t>
            </w:r>
          </w:p>
          <w:p>
            <w:pPr>
              <w:spacing w:line="280" w:lineRule="exact"/>
              <w:jc w:val="center"/>
              <w:rPr>
                <w:szCs w:val="21"/>
              </w:rPr>
            </w:pPr>
            <w:r>
              <w:rPr>
                <w:szCs w:val="21"/>
              </w:rPr>
              <w:t>83158134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879" w:type="dxa"/>
            <w:vAlign w:val="center"/>
          </w:tcPr>
          <w:p>
            <w:pPr>
              <w:spacing w:line="280" w:lineRule="exact"/>
              <w:jc w:val="center"/>
              <w:rPr>
                <w:szCs w:val="21"/>
              </w:rPr>
            </w:pPr>
            <w:r>
              <w:rPr>
                <w:szCs w:val="21"/>
              </w:rPr>
              <w:t>4</w:t>
            </w:r>
          </w:p>
        </w:tc>
        <w:tc>
          <w:tcPr>
            <w:tcW w:w="1774" w:type="dxa"/>
            <w:vAlign w:val="center"/>
          </w:tcPr>
          <w:p>
            <w:pPr>
              <w:spacing w:line="280" w:lineRule="exact"/>
              <w:jc w:val="center"/>
              <w:rPr>
                <w:szCs w:val="21"/>
              </w:rPr>
            </w:pPr>
            <w:r>
              <w:rPr>
                <w:rFonts w:hint="eastAsia"/>
                <w:szCs w:val="21"/>
              </w:rPr>
              <w:t>施工单位按照工程建设强制性标准施工</w:t>
            </w:r>
          </w:p>
        </w:tc>
        <w:tc>
          <w:tcPr>
            <w:tcW w:w="2302" w:type="dxa"/>
            <w:vAlign w:val="center"/>
          </w:tcPr>
          <w:p>
            <w:pPr>
              <w:spacing w:line="280" w:lineRule="exact"/>
              <w:jc w:val="center"/>
              <w:rPr>
                <w:szCs w:val="21"/>
              </w:rPr>
            </w:pPr>
            <w:r>
              <w:rPr>
                <w:rFonts w:hint="eastAsia"/>
                <w:szCs w:val="21"/>
              </w:rPr>
              <w:t>施工单位违反工程建设强制性标准</w:t>
            </w:r>
          </w:p>
        </w:tc>
        <w:tc>
          <w:tcPr>
            <w:tcW w:w="4337" w:type="dxa"/>
            <w:vAlign w:val="center"/>
          </w:tcPr>
          <w:p>
            <w:pPr>
              <w:spacing w:line="280" w:lineRule="exact"/>
              <w:jc w:val="center"/>
              <w:rPr>
                <w:szCs w:val="21"/>
              </w:rPr>
            </w:pPr>
            <w:r>
              <w:rPr>
                <w:rFonts w:hint="eastAsia"/>
                <w:szCs w:val="21"/>
              </w:rPr>
              <w:t>【部门规章】《实施工程建设强制性标准监督规定》（</w:t>
            </w:r>
            <w:r>
              <w:rPr>
                <w:szCs w:val="21"/>
              </w:rPr>
              <w:t>2015修正）</w:t>
            </w:r>
          </w:p>
          <w:p>
            <w:pPr>
              <w:spacing w:line="280" w:lineRule="exact"/>
              <w:jc w:val="center"/>
              <w:rPr>
                <w:szCs w:val="21"/>
              </w:rPr>
            </w:pPr>
            <w:r>
              <w:rPr>
                <w:szCs w:val="21"/>
              </w:rPr>
              <w:t>第十八条 施工单位违反工程建设强制性标准的，责令改正，处工程合同价款2％以上4％以下的罚款；造成建设工程质</w:t>
            </w:r>
            <w:r>
              <w:rPr>
                <w:rFonts w:hint="eastAsia"/>
                <w:szCs w:val="21"/>
              </w:rPr>
              <w:t>量不符合规定的质量标准的，负责返工、修理，并赔偿因此造成的损失；情节严重的，责令停业整顿，降低资质等级或者吊销资质证书。</w:t>
            </w:r>
          </w:p>
        </w:tc>
        <w:tc>
          <w:tcPr>
            <w:tcW w:w="765" w:type="dxa"/>
            <w:vAlign w:val="center"/>
          </w:tcPr>
          <w:p>
            <w:pPr>
              <w:spacing w:line="280" w:lineRule="exact"/>
              <w:jc w:val="center"/>
              <w:rPr>
                <w:szCs w:val="21"/>
              </w:rPr>
            </w:pPr>
            <w:r>
              <w:rPr>
                <w:rFonts w:hint="eastAsia"/>
                <w:szCs w:val="21"/>
              </w:rPr>
              <w:t>★★</w:t>
            </w:r>
          </w:p>
        </w:tc>
        <w:tc>
          <w:tcPr>
            <w:tcW w:w="2959" w:type="dxa"/>
            <w:vAlign w:val="center"/>
          </w:tcPr>
          <w:p>
            <w:pPr>
              <w:spacing w:line="280" w:lineRule="exact"/>
              <w:jc w:val="center"/>
              <w:rPr>
                <w:szCs w:val="21"/>
              </w:rPr>
            </w:pPr>
            <w:r>
              <w:rPr>
                <w:rFonts w:hint="eastAsia"/>
                <w:szCs w:val="21"/>
              </w:rPr>
              <w:t>施工单位按照工程建设强制性标</w:t>
            </w:r>
          </w:p>
          <w:p>
            <w:pPr>
              <w:spacing w:line="280" w:lineRule="exact"/>
              <w:jc w:val="center"/>
              <w:rPr>
                <w:szCs w:val="21"/>
              </w:rPr>
            </w:pPr>
            <w:r>
              <w:rPr>
                <w:rFonts w:hint="eastAsia"/>
                <w:szCs w:val="21"/>
              </w:rPr>
              <w:t>准施工</w:t>
            </w:r>
          </w:p>
        </w:tc>
        <w:tc>
          <w:tcPr>
            <w:tcW w:w="1576" w:type="dxa"/>
            <w:vAlign w:val="center"/>
          </w:tcPr>
          <w:p>
            <w:pPr>
              <w:spacing w:line="280" w:lineRule="exact"/>
              <w:jc w:val="center"/>
              <w:rPr>
                <w:szCs w:val="21"/>
              </w:rPr>
            </w:pPr>
            <w:r>
              <w:rPr>
                <w:szCs w:val="21"/>
              </w:rPr>
              <w:t>梁溪区建设工程质量安全监督站</w:t>
            </w:r>
          </w:p>
          <w:p>
            <w:pPr>
              <w:spacing w:line="280" w:lineRule="exact"/>
              <w:jc w:val="center"/>
              <w:rPr>
                <w:szCs w:val="21"/>
              </w:rPr>
            </w:pPr>
            <w:r>
              <w:rPr>
                <w:szCs w:val="21"/>
              </w:rPr>
              <w:t>83158134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6" w:hRule="atLeast"/>
          <w:jc w:val="center"/>
        </w:trPr>
        <w:tc>
          <w:tcPr>
            <w:tcW w:w="879" w:type="dxa"/>
            <w:vAlign w:val="center"/>
          </w:tcPr>
          <w:p>
            <w:pPr>
              <w:spacing w:line="280" w:lineRule="exact"/>
              <w:jc w:val="center"/>
              <w:rPr>
                <w:szCs w:val="21"/>
              </w:rPr>
            </w:pPr>
            <w:r>
              <w:rPr>
                <w:szCs w:val="21"/>
              </w:rPr>
              <w:t>5</w:t>
            </w:r>
          </w:p>
        </w:tc>
        <w:tc>
          <w:tcPr>
            <w:tcW w:w="1774" w:type="dxa"/>
            <w:vAlign w:val="center"/>
          </w:tcPr>
          <w:p>
            <w:pPr>
              <w:spacing w:line="280" w:lineRule="exact"/>
              <w:jc w:val="center"/>
              <w:rPr>
                <w:szCs w:val="21"/>
              </w:rPr>
            </w:pPr>
            <w:r>
              <w:rPr>
                <w:rFonts w:hint="eastAsia"/>
                <w:szCs w:val="21"/>
              </w:rPr>
              <w:t>施工单位对建筑土方、工程渣土、建筑垃圾及时清运；施工单位采用密闭式防尘网遮盖</w:t>
            </w:r>
          </w:p>
        </w:tc>
        <w:tc>
          <w:tcPr>
            <w:tcW w:w="2302" w:type="dxa"/>
            <w:vAlign w:val="center"/>
          </w:tcPr>
          <w:p>
            <w:pPr>
              <w:spacing w:line="280" w:lineRule="exact"/>
              <w:jc w:val="center"/>
              <w:rPr>
                <w:szCs w:val="21"/>
              </w:rPr>
            </w:pPr>
            <w:r>
              <w:rPr>
                <w:rFonts w:hint="eastAsia"/>
                <w:szCs w:val="21"/>
              </w:rPr>
              <w:t>施工单位未对建筑土方、工程渣土、建筑垃圾及时清运， 或者未采用密闭式防尘网遮盖</w:t>
            </w:r>
          </w:p>
        </w:tc>
        <w:tc>
          <w:tcPr>
            <w:tcW w:w="4337" w:type="dxa"/>
            <w:vAlign w:val="center"/>
          </w:tcPr>
          <w:p>
            <w:pPr>
              <w:spacing w:line="280" w:lineRule="exact"/>
              <w:jc w:val="center"/>
              <w:rPr>
                <w:szCs w:val="21"/>
              </w:rPr>
            </w:pPr>
            <w:r>
              <w:rPr>
                <w:rFonts w:hint="eastAsia"/>
                <w:szCs w:val="21"/>
              </w:rPr>
              <w:t>【法律】《中华人民共和国大气污染防治法》（</w:t>
            </w:r>
            <w:r>
              <w:rPr>
                <w:szCs w:val="21"/>
              </w:rPr>
              <w:t>2018</w:t>
            </w:r>
            <w:r>
              <w:rPr>
                <w:rFonts w:hint="eastAsia"/>
                <w:szCs w:val="21"/>
              </w:rPr>
              <w:t>修正）</w:t>
            </w:r>
          </w:p>
          <w:p>
            <w:pPr>
              <w:spacing w:line="280" w:lineRule="exact"/>
              <w:jc w:val="center"/>
              <w:rPr>
                <w:szCs w:val="21"/>
              </w:rPr>
            </w:pPr>
            <w:r>
              <w:rPr>
                <w:rFonts w:hint="eastAsia"/>
                <w:szCs w:val="21"/>
              </w:rPr>
              <w:t>第六十九条第三款 施工单位应当在施工工地设置硬质围挡，并采取覆盖、分段作业、择时施工、洒水抑尘、冲洗地面和车辆等有效防尘降尘措施。建筑土方、工程渣土、建筑垃圾应当及时清运；在场地内堆存的，应当采用密闭式防尘网遮盖。工程渣土、</w:t>
            </w:r>
          </w:p>
          <w:p>
            <w:pPr>
              <w:spacing w:line="280" w:lineRule="exact"/>
              <w:jc w:val="center"/>
              <w:rPr>
                <w:szCs w:val="21"/>
              </w:rPr>
            </w:pPr>
            <w:r>
              <w:rPr>
                <w:rFonts w:hint="eastAsia"/>
                <w:szCs w:val="21"/>
              </w:rPr>
              <w:t>建筑垃圾应当进行资源化处理。</w:t>
            </w:r>
          </w:p>
          <w:p>
            <w:pPr>
              <w:spacing w:line="280" w:lineRule="exact"/>
              <w:jc w:val="center"/>
              <w:rPr>
                <w:szCs w:val="21"/>
              </w:rPr>
            </w:pPr>
            <w:r>
              <w:rPr>
                <w:rFonts w:hint="eastAsia"/>
                <w:szCs w:val="21"/>
              </w:rPr>
              <w:t>第一百一十五条 违反本法规定，施工单位有下列行为之一的，由县级以上人民政府住房城乡建设等主管部门按照职责责令改</w:t>
            </w:r>
          </w:p>
          <w:p>
            <w:pPr>
              <w:spacing w:line="280" w:lineRule="exact"/>
              <w:jc w:val="center"/>
              <w:rPr>
                <w:szCs w:val="21"/>
              </w:rPr>
            </w:pPr>
            <w:r>
              <w:rPr>
                <w:rFonts w:hint="eastAsia"/>
                <w:szCs w:val="21"/>
              </w:rPr>
              <w:t>正，处一万元以上十万元以下的罚款；拒不改正的，责令停工整治：（二）建筑土方、工程渣土、建筑垃圾未及时清运，或者未采用密闭式防尘网遮盖的。</w:t>
            </w:r>
          </w:p>
        </w:tc>
        <w:tc>
          <w:tcPr>
            <w:tcW w:w="765" w:type="dxa"/>
            <w:vAlign w:val="center"/>
          </w:tcPr>
          <w:p>
            <w:pPr>
              <w:spacing w:line="280" w:lineRule="exact"/>
              <w:jc w:val="center"/>
              <w:rPr>
                <w:szCs w:val="21"/>
              </w:rPr>
            </w:pPr>
            <w:r>
              <w:rPr>
                <w:rFonts w:hint="eastAsia"/>
                <w:szCs w:val="21"/>
              </w:rPr>
              <w:t>★★</w:t>
            </w:r>
          </w:p>
        </w:tc>
        <w:tc>
          <w:tcPr>
            <w:tcW w:w="2959" w:type="dxa"/>
            <w:vAlign w:val="center"/>
          </w:tcPr>
          <w:p>
            <w:pPr>
              <w:spacing w:line="280" w:lineRule="exact"/>
              <w:jc w:val="center"/>
              <w:rPr>
                <w:szCs w:val="21"/>
              </w:rPr>
            </w:pPr>
            <w:r>
              <w:rPr>
                <w:rFonts w:hint="eastAsia"/>
                <w:szCs w:val="21"/>
              </w:rPr>
              <w:t>施工单位对建筑土方、工程渣土、建筑垃圾及时清运；施工单位采用密闭式防尘网遮盖</w:t>
            </w:r>
          </w:p>
        </w:tc>
        <w:tc>
          <w:tcPr>
            <w:tcW w:w="1576" w:type="dxa"/>
            <w:vAlign w:val="center"/>
          </w:tcPr>
          <w:p>
            <w:pPr>
              <w:spacing w:line="280" w:lineRule="exact"/>
              <w:jc w:val="center"/>
              <w:rPr>
                <w:szCs w:val="21"/>
              </w:rPr>
            </w:pPr>
            <w:r>
              <w:rPr>
                <w:szCs w:val="21"/>
              </w:rPr>
              <w:t>梁溪区建设工程质量安全监督站</w:t>
            </w:r>
          </w:p>
          <w:p>
            <w:pPr>
              <w:spacing w:line="280" w:lineRule="exact"/>
              <w:jc w:val="center"/>
              <w:rPr>
                <w:szCs w:val="21"/>
              </w:rPr>
            </w:pPr>
            <w:r>
              <w:rPr>
                <w:szCs w:val="21"/>
              </w:rPr>
              <w:t>83158134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81" w:hRule="atLeast"/>
          <w:jc w:val="center"/>
        </w:trPr>
        <w:tc>
          <w:tcPr>
            <w:tcW w:w="879" w:type="dxa"/>
            <w:vAlign w:val="center"/>
          </w:tcPr>
          <w:p>
            <w:pPr>
              <w:spacing w:line="280" w:lineRule="exact"/>
              <w:jc w:val="center"/>
              <w:rPr>
                <w:szCs w:val="21"/>
              </w:rPr>
            </w:pPr>
            <w:r>
              <w:rPr>
                <w:szCs w:val="21"/>
              </w:rPr>
              <w:t>6</w:t>
            </w:r>
          </w:p>
        </w:tc>
        <w:tc>
          <w:tcPr>
            <w:tcW w:w="1774" w:type="dxa"/>
            <w:vAlign w:val="center"/>
          </w:tcPr>
          <w:p>
            <w:pPr>
              <w:spacing w:line="280" w:lineRule="exact"/>
              <w:jc w:val="center"/>
              <w:rPr>
                <w:szCs w:val="21"/>
              </w:rPr>
            </w:pPr>
            <w:r>
              <w:rPr>
                <w:rFonts w:hint="eastAsia"/>
                <w:szCs w:val="21"/>
              </w:rPr>
              <w:t>施工单位按照规定采取扬尘污染防治措施</w:t>
            </w:r>
          </w:p>
        </w:tc>
        <w:tc>
          <w:tcPr>
            <w:tcW w:w="2302" w:type="dxa"/>
            <w:vAlign w:val="center"/>
          </w:tcPr>
          <w:p>
            <w:pPr>
              <w:spacing w:line="280" w:lineRule="exact"/>
              <w:jc w:val="center"/>
              <w:rPr>
                <w:szCs w:val="21"/>
              </w:rPr>
            </w:pPr>
            <w:r>
              <w:rPr>
                <w:rFonts w:hint="eastAsia"/>
                <w:szCs w:val="21"/>
              </w:rPr>
              <w:t>施工单位未按照规定采取扬尘污染防治措施</w:t>
            </w:r>
          </w:p>
        </w:tc>
        <w:tc>
          <w:tcPr>
            <w:tcW w:w="4337" w:type="dxa"/>
            <w:vAlign w:val="center"/>
          </w:tcPr>
          <w:p>
            <w:pPr>
              <w:spacing w:line="280" w:lineRule="exact"/>
              <w:jc w:val="center"/>
              <w:rPr>
                <w:szCs w:val="21"/>
              </w:rPr>
            </w:pPr>
            <w:r>
              <w:rPr>
                <w:rFonts w:hint="eastAsia"/>
                <w:szCs w:val="21"/>
              </w:rPr>
              <w:t>【法律】《中华人民共和国大气污染防治法》（</w:t>
            </w:r>
            <w:r>
              <w:rPr>
                <w:szCs w:val="21"/>
              </w:rPr>
              <w:t>2018 修正）</w:t>
            </w:r>
          </w:p>
          <w:p>
            <w:pPr>
              <w:spacing w:line="280" w:lineRule="exact"/>
              <w:jc w:val="center"/>
              <w:rPr>
                <w:szCs w:val="21"/>
              </w:rPr>
            </w:pPr>
            <w:r>
              <w:rPr>
                <w:szCs w:val="21"/>
              </w:rPr>
              <w:t>第一百一十五条 违反本法规定，施工单位有下列行</w:t>
            </w:r>
            <w:r>
              <w:rPr>
                <w:rFonts w:hint="eastAsia"/>
                <w:szCs w:val="21"/>
              </w:rPr>
              <w:t>为之一的，由县级以上人民政府住房城乡建设等主管部门按照职责责令改正，处一万元以上十万元以下的罚款；拒不改正的，责令停工整治：（一）施工工地未设置硬质围挡， 或者未采取覆盖、分段作业、择时施工、洒水抑尘、冲洗地面和车辆等有效防尘降尘措施的；（二）建筑土方、工程渣土、建筑垃圾未及时清运，或者未采用密闭式防尘网遮盖的。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tc>
        <w:tc>
          <w:tcPr>
            <w:tcW w:w="765" w:type="dxa"/>
            <w:vAlign w:val="center"/>
          </w:tcPr>
          <w:p>
            <w:pPr>
              <w:spacing w:line="280" w:lineRule="exact"/>
              <w:jc w:val="center"/>
              <w:rPr>
                <w:szCs w:val="21"/>
              </w:rPr>
            </w:pPr>
            <w:r>
              <w:rPr>
                <w:rFonts w:hint="eastAsia"/>
                <w:szCs w:val="21"/>
              </w:rPr>
              <w:t>★★</w:t>
            </w:r>
          </w:p>
        </w:tc>
        <w:tc>
          <w:tcPr>
            <w:tcW w:w="2959" w:type="dxa"/>
            <w:vAlign w:val="center"/>
          </w:tcPr>
          <w:p>
            <w:pPr>
              <w:spacing w:line="280" w:lineRule="exact"/>
              <w:jc w:val="center"/>
              <w:rPr>
                <w:szCs w:val="21"/>
              </w:rPr>
            </w:pPr>
            <w:r>
              <w:rPr>
                <w:rFonts w:hint="eastAsia"/>
                <w:szCs w:val="21"/>
              </w:rPr>
              <w:t>施工单位按照规定采取扬尘污染防治措施</w:t>
            </w:r>
          </w:p>
        </w:tc>
        <w:tc>
          <w:tcPr>
            <w:tcW w:w="1576" w:type="dxa"/>
            <w:vAlign w:val="center"/>
          </w:tcPr>
          <w:p>
            <w:pPr>
              <w:spacing w:line="280" w:lineRule="exact"/>
              <w:jc w:val="center"/>
              <w:rPr>
                <w:szCs w:val="21"/>
              </w:rPr>
            </w:pPr>
            <w:r>
              <w:rPr>
                <w:rFonts w:hint="eastAsia"/>
                <w:szCs w:val="21"/>
              </w:rPr>
              <w:t>梁溪区建设工</w:t>
            </w:r>
            <w:r>
              <w:rPr>
                <w:szCs w:val="21"/>
              </w:rPr>
              <w:t>程质量安全监督站</w:t>
            </w:r>
          </w:p>
          <w:p>
            <w:pPr>
              <w:spacing w:line="280" w:lineRule="exact"/>
              <w:jc w:val="center"/>
              <w:rPr>
                <w:szCs w:val="21"/>
              </w:rPr>
            </w:pPr>
            <w:r>
              <w:rPr>
                <w:szCs w:val="21"/>
              </w:rPr>
              <w:t>83158134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1" w:hRule="atLeast"/>
          <w:jc w:val="center"/>
        </w:trPr>
        <w:tc>
          <w:tcPr>
            <w:tcW w:w="879" w:type="dxa"/>
            <w:vAlign w:val="center"/>
          </w:tcPr>
          <w:p>
            <w:pPr>
              <w:spacing w:line="280" w:lineRule="exact"/>
              <w:jc w:val="center"/>
              <w:rPr>
                <w:szCs w:val="21"/>
              </w:rPr>
            </w:pPr>
            <w:r>
              <w:rPr>
                <w:szCs w:val="21"/>
              </w:rPr>
              <w:t>7</w:t>
            </w:r>
          </w:p>
        </w:tc>
        <w:tc>
          <w:tcPr>
            <w:tcW w:w="1774" w:type="dxa"/>
            <w:vAlign w:val="center"/>
          </w:tcPr>
          <w:p>
            <w:pPr>
              <w:spacing w:line="280" w:lineRule="exact"/>
              <w:jc w:val="center"/>
              <w:rPr>
                <w:szCs w:val="21"/>
              </w:rPr>
            </w:pPr>
            <w:r>
              <w:rPr>
                <w:rFonts w:hint="eastAsia"/>
                <w:szCs w:val="21"/>
              </w:rPr>
              <w:t>监理工程师等注册执业人员应当正确履行自己的义务， 确保工程质量无问题</w:t>
            </w:r>
          </w:p>
        </w:tc>
        <w:tc>
          <w:tcPr>
            <w:tcW w:w="2302" w:type="dxa"/>
            <w:vAlign w:val="center"/>
          </w:tcPr>
          <w:p>
            <w:pPr>
              <w:spacing w:line="280" w:lineRule="exact"/>
              <w:jc w:val="center"/>
              <w:rPr>
                <w:szCs w:val="21"/>
              </w:rPr>
            </w:pPr>
            <w:r>
              <w:rPr>
                <w:rFonts w:hint="eastAsia"/>
                <w:szCs w:val="21"/>
              </w:rPr>
              <w:t>监理工程师等注册执业人员因过错造成质量事故</w:t>
            </w:r>
          </w:p>
        </w:tc>
        <w:tc>
          <w:tcPr>
            <w:tcW w:w="4337" w:type="dxa"/>
            <w:vAlign w:val="center"/>
          </w:tcPr>
          <w:p>
            <w:pPr>
              <w:spacing w:line="280" w:lineRule="exact"/>
              <w:jc w:val="center"/>
              <w:rPr>
                <w:szCs w:val="21"/>
              </w:rPr>
            </w:pPr>
            <w:r>
              <w:rPr>
                <w:rFonts w:hint="eastAsia"/>
                <w:szCs w:val="21"/>
              </w:rPr>
              <w:t>【行政法规】《建设工程质量管理条例》（</w:t>
            </w:r>
            <w:r>
              <w:rPr>
                <w:szCs w:val="21"/>
              </w:rPr>
              <w:t>2019修</w:t>
            </w:r>
            <w:r>
              <w:rPr>
                <w:rFonts w:hint="eastAsia"/>
                <w:szCs w:val="21"/>
              </w:rPr>
              <w:t>订）</w:t>
            </w:r>
          </w:p>
          <w:p>
            <w:pPr>
              <w:spacing w:line="280" w:lineRule="exact"/>
              <w:jc w:val="center"/>
              <w:rPr>
                <w:szCs w:val="21"/>
              </w:rPr>
            </w:pPr>
            <w:r>
              <w:rPr>
                <w:rFonts w:hint="eastAsia"/>
                <w:szCs w:val="21"/>
              </w:rPr>
              <w:t>第三十八条 监理工程师应当按照工程监理规范的要求，采取旁站、巡视和平行检验等形式，对建设工程实施监理。</w:t>
            </w:r>
          </w:p>
          <w:p>
            <w:pPr>
              <w:spacing w:line="280" w:lineRule="exact"/>
              <w:jc w:val="center"/>
              <w:rPr>
                <w:szCs w:val="21"/>
              </w:rPr>
            </w:pPr>
            <w:r>
              <w:rPr>
                <w:rFonts w:hint="eastAsia"/>
                <w:szCs w:val="21"/>
              </w:rPr>
              <w:t>第七十二条 违反本条例规定，注册建筑师、注册结构工程师、监理工程师等注册执业人员因过错造成质量事故的，责令停止执业</w:t>
            </w:r>
            <w:r>
              <w:rPr>
                <w:szCs w:val="21"/>
              </w:rPr>
              <w:t>1年；造成重大质量事故的，吊销执业资格证书，5</w:t>
            </w:r>
            <w:r>
              <w:rPr>
                <w:rFonts w:hint="eastAsia"/>
                <w:szCs w:val="21"/>
              </w:rPr>
              <w:t>年以内不予注册；情节特别恶劣的，终身不予注册。</w:t>
            </w:r>
          </w:p>
        </w:tc>
        <w:tc>
          <w:tcPr>
            <w:tcW w:w="765" w:type="dxa"/>
            <w:vAlign w:val="center"/>
          </w:tcPr>
          <w:p>
            <w:pPr>
              <w:spacing w:line="280" w:lineRule="exact"/>
              <w:jc w:val="center"/>
              <w:rPr>
                <w:szCs w:val="21"/>
              </w:rPr>
            </w:pPr>
            <w:r>
              <w:rPr>
                <w:rFonts w:hint="eastAsia"/>
                <w:szCs w:val="21"/>
              </w:rPr>
              <w:t>★</w:t>
            </w:r>
          </w:p>
        </w:tc>
        <w:tc>
          <w:tcPr>
            <w:tcW w:w="2959" w:type="dxa"/>
            <w:vAlign w:val="center"/>
          </w:tcPr>
          <w:p>
            <w:pPr>
              <w:spacing w:line="280" w:lineRule="exact"/>
              <w:jc w:val="center"/>
              <w:rPr>
                <w:szCs w:val="21"/>
              </w:rPr>
            </w:pPr>
            <w:r>
              <w:rPr>
                <w:rFonts w:hint="eastAsia"/>
                <w:szCs w:val="21"/>
              </w:rPr>
              <w:t>注册建筑师、注册结构工程师、监理工程师等注册执业人员应当正确履行自己的义务，确保工程质量无问题</w:t>
            </w:r>
          </w:p>
        </w:tc>
        <w:tc>
          <w:tcPr>
            <w:tcW w:w="1576" w:type="dxa"/>
            <w:vAlign w:val="center"/>
          </w:tcPr>
          <w:p>
            <w:pPr>
              <w:spacing w:line="280" w:lineRule="exact"/>
              <w:jc w:val="center"/>
              <w:rPr>
                <w:szCs w:val="21"/>
              </w:rPr>
            </w:pPr>
            <w:r>
              <w:rPr>
                <w:rFonts w:hint="eastAsia"/>
                <w:szCs w:val="21"/>
              </w:rPr>
              <w:t>梁溪区建设工程质量安</w:t>
            </w:r>
            <w:r>
              <w:rPr>
                <w:szCs w:val="21"/>
              </w:rPr>
              <w:t>全监督站</w:t>
            </w:r>
          </w:p>
          <w:p>
            <w:pPr>
              <w:spacing w:line="280" w:lineRule="exact"/>
              <w:jc w:val="center"/>
              <w:rPr>
                <w:szCs w:val="21"/>
              </w:rPr>
            </w:pPr>
            <w:r>
              <w:rPr>
                <w:szCs w:val="21"/>
              </w:rPr>
              <w:t>83158134</w:t>
            </w:r>
          </w:p>
        </w:tc>
      </w:tr>
    </w:tbl>
    <w:p>
      <w:pPr>
        <w:widowControl/>
        <w:spacing w:line="300" w:lineRule="exact"/>
        <w:rPr>
          <w:rFonts w:eastAsia="方正楷体_GBK"/>
          <w:szCs w:val="21"/>
        </w:rPr>
      </w:pPr>
      <w:r>
        <w:rPr>
          <w:rFonts w:hint="eastAsia" w:eastAsia="方正楷体_GBK"/>
          <w:szCs w:val="21"/>
        </w:rPr>
        <w:t>备注：</w:t>
      </w:r>
      <w:r>
        <w:rPr>
          <w:rFonts w:eastAsia="方正楷体_GBK"/>
          <w:szCs w:val="21"/>
        </w:rPr>
        <w:t>1.本清单并未涵盖所有违法违规行为；合规建议仅为行政指导，不作为企业免责依据。</w:t>
      </w:r>
    </w:p>
    <w:p>
      <w:pPr>
        <w:widowControl/>
        <w:spacing w:line="300" w:lineRule="exact"/>
        <w:ind w:firstLine="630" w:firstLineChars="300"/>
        <w:rPr>
          <w:rFonts w:eastAsia="方正楷体_GBK"/>
          <w:szCs w:val="21"/>
        </w:rPr>
      </w:pPr>
      <w:r>
        <w:rPr>
          <w:rFonts w:eastAsia="方正楷体_GBK"/>
          <w:szCs w:val="21"/>
        </w:rPr>
        <w:t>2.</w:t>
      </w:r>
      <w:r>
        <w:rPr>
          <w:rFonts w:hint="eastAsia" w:eastAsia="方正楷体_GBK"/>
          <w:szCs w:val="21"/>
        </w:rPr>
        <w:t xml:space="preserve"> 风险等级是指发生频率，发生频率较高的为★★★，发生频率一般的为★★，发生频率较少的为★。</w:t>
      </w:r>
    </w:p>
    <w:p/>
    <w:p/>
    <w:p/>
    <w:p/>
    <w:p/>
    <w:p/>
    <w:p/>
    <w:p/>
    <w:p/>
    <w:p/>
    <w:p/>
    <w:p/>
    <w:p>
      <w:pPr>
        <w:overflowPunct w:val="0"/>
        <w:autoSpaceDE w:val="0"/>
        <w:autoSpaceDN w:val="0"/>
        <w:adjustRightInd w:val="0"/>
        <w:jc w:val="center"/>
        <w:rPr>
          <w:rFonts w:hint="eastAsia" w:ascii="方正小标宋_GBK" w:hAnsi="华文中宋" w:eastAsia="方正小标宋_GBK"/>
          <w:kern w:val="0"/>
          <w:sz w:val="36"/>
          <w:szCs w:val="36"/>
          <w:lang w:eastAsia="zh-CN"/>
        </w:rPr>
      </w:pPr>
      <w:r>
        <w:rPr>
          <w:rFonts w:hint="eastAsia" w:ascii="方正小标宋_GBK" w:hAnsi="华文中宋" w:eastAsia="方正小标宋_GBK"/>
          <w:kern w:val="0"/>
          <w:sz w:val="36"/>
          <w:szCs w:val="36"/>
          <w:lang w:eastAsia="zh-CN"/>
        </w:rPr>
        <w:t>梁溪区企业行政合规指导清单（第一批）</w:t>
      </w:r>
    </w:p>
    <w:p>
      <w:pPr>
        <w:overflowPunct w:val="0"/>
        <w:autoSpaceDE w:val="0"/>
        <w:autoSpaceDN w:val="0"/>
        <w:adjustRightInd w:val="0"/>
        <w:jc w:val="center"/>
        <w:rPr>
          <w:rFonts w:ascii="方正小标宋_GBK" w:hAnsi="华文中宋" w:eastAsia="方正小标宋_GBK"/>
          <w:kern w:val="0"/>
          <w:sz w:val="36"/>
          <w:szCs w:val="36"/>
        </w:rPr>
      </w:pPr>
      <w:r>
        <w:rPr>
          <w:rFonts w:hint="eastAsia" w:ascii="方正小标宋_GBK" w:hAnsi="华文中宋" w:eastAsia="方正小标宋_GBK"/>
          <w:kern w:val="0"/>
          <w:sz w:val="36"/>
          <w:szCs w:val="36"/>
        </w:rPr>
        <w:t>（区城管局）</w:t>
      </w:r>
    </w:p>
    <w:tbl>
      <w:tblPr>
        <w:tblStyle w:val="6"/>
        <w:tblW w:w="14592" w:type="dxa"/>
        <w:tblInd w:w="91" w:type="dxa"/>
        <w:tblLayout w:type="fixed"/>
        <w:tblCellMar>
          <w:top w:w="0" w:type="dxa"/>
          <w:left w:w="108" w:type="dxa"/>
          <w:bottom w:w="0" w:type="dxa"/>
          <w:right w:w="108" w:type="dxa"/>
        </w:tblCellMar>
      </w:tblPr>
      <w:tblGrid>
        <w:gridCol w:w="879"/>
        <w:gridCol w:w="1774"/>
        <w:gridCol w:w="2302"/>
        <w:gridCol w:w="4337"/>
        <w:gridCol w:w="765"/>
        <w:gridCol w:w="2959"/>
        <w:gridCol w:w="1576"/>
      </w:tblGrid>
      <w:tr>
        <w:tblPrEx>
          <w:tblCellMar>
            <w:top w:w="0" w:type="dxa"/>
            <w:left w:w="108" w:type="dxa"/>
            <w:bottom w:w="0" w:type="dxa"/>
            <w:right w:w="108" w:type="dxa"/>
          </w:tblCellMar>
        </w:tblPrEx>
        <w:trPr>
          <w:trHeight w:val="765" w:hRule="atLeast"/>
          <w:tblHeader/>
        </w:trPr>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jc w:val="center"/>
              <w:rPr>
                <w:rFonts w:ascii="宋体" w:hAnsi="宋体" w:cs="宋体"/>
                <w:b/>
                <w:bCs/>
                <w:color w:val="000000"/>
                <w:sz w:val="22"/>
                <w:szCs w:val="22"/>
              </w:rPr>
            </w:pPr>
            <w:r>
              <w:rPr>
                <w:rFonts w:hint="eastAsia" w:ascii="方正黑体_GBK" w:hAnsi="黑体" w:eastAsia="方正黑体_GBK"/>
                <w:szCs w:val="21"/>
              </w:rPr>
              <w:t>序号</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行政合规</w:t>
            </w:r>
            <w:r>
              <w:rPr>
                <w:rFonts w:hint="eastAsia" w:ascii="方正黑体_GBK" w:hAnsi="黑体" w:eastAsia="方正黑体_GBK"/>
                <w:szCs w:val="21"/>
              </w:rPr>
              <w:br w:type="textWrapping"/>
            </w:r>
            <w:r>
              <w:rPr>
                <w:rFonts w:hint="eastAsia" w:ascii="方正黑体_GBK" w:hAnsi="黑体" w:eastAsia="方正黑体_GBK"/>
                <w:szCs w:val="21"/>
              </w:rPr>
              <w:t>事项</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常见违法行为表现</w:t>
            </w:r>
          </w:p>
        </w:tc>
        <w:tc>
          <w:tcPr>
            <w:tcW w:w="4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法律依据及违法责任</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风险</w:t>
            </w:r>
            <w:r>
              <w:rPr>
                <w:rFonts w:hint="eastAsia" w:ascii="方正黑体_GBK" w:hAnsi="黑体" w:eastAsia="方正黑体_GBK"/>
                <w:szCs w:val="21"/>
              </w:rPr>
              <w:br w:type="textWrapping"/>
            </w:r>
            <w:r>
              <w:rPr>
                <w:rFonts w:hint="eastAsia" w:ascii="方正黑体_GBK" w:hAnsi="黑体" w:eastAsia="方正黑体_GBK"/>
                <w:szCs w:val="21"/>
              </w:rPr>
              <w:t>等级</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合规建议</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指导部门（科室）</w:t>
            </w:r>
          </w:p>
        </w:tc>
      </w:tr>
      <w:tr>
        <w:tblPrEx>
          <w:tblCellMar>
            <w:top w:w="0" w:type="dxa"/>
            <w:left w:w="108" w:type="dxa"/>
            <w:bottom w:w="0" w:type="dxa"/>
            <w:right w:w="108" w:type="dxa"/>
          </w:tblCellMar>
        </w:tblPrEx>
        <w:trPr>
          <w:trHeight w:val="618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jc w:val="center"/>
              <w:rPr>
                <w:szCs w:val="21"/>
              </w:rPr>
            </w:pPr>
            <w:r>
              <w:rPr>
                <w:rFonts w:hint="eastAsia"/>
                <w:szCs w:val="21"/>
              </w:rPr>
              <w:t>1</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建设工程开工前，建设单位应当向市、县级市城市管理行政主管部门申报建筑垃圾、工程渣土、工程泥浆产生量和处置方案，取得处置许可。未经许可的，不得擅自处置。</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未经许可处置建筑垃圾、工程渣土、工程泥浆</w:t>
            </w:r>
          </w:p>
        </w:tc>
        <w:tc>
          <w:tcPr>
            <w:tcW w:w="43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br w:type="textWrapping"/>
            </w:r>
            <w:r>
              <w:rPr>
                <w:rFonts w:hint="eastAsia"/>
                <w:szCs w:val="21"/>
              </w:rPr>
              <w:t>《城市建筑垃圾管理规定》</w:t>
            </w:r>
            <w:r>
              <w:rPr>
                <w:rFonts w:hint="eastAsia"/>
                <w:szCs w:val="21"/>
              </w:rPr>
              <w:br w:type="textWrapping"/>
            </w:r>
            <w:r>
              <w:rPr>
                <w:rFonts w:hint="eastAsia"/>
                <w:szCs w:val="21"/>
              </w:rPr>
              <w:t>第七条第一款  处置建筑垃圾的单位，应当向城市人民政府市容环境卫生主管部门提出申请，获得城市建筑垃圾处置核准后，方可处置。</w:t>
            </w:r>
            <w:r>
              <w:rPr>
                <w:rFonts w:hint="eastAsia"/>
                <w:szCs w:val="21"/>
              </w:rPr>
              <w:br w:type="textWrapping"/>
            </w:r>
            <w:r>
              <w:rPr>
                <w:rFonts w:hint="eastAsia"/>
                <w:szCs w:val="21"/>
              </w:rPr>
              <w:br w:type="textWrapping"/>
            </w:r>
            <w:r>
              <w:rPr>
                <w:rFonts w:hint="eastAsia"/>
                <w:szCs w:val="21"/>
              </w:rPr>
              <w:t>《无锡市市容和环境卫生管理条例》</w:t>
            </w:r>
            <w:r>
              <w:rPr>
                <w:rFonts w:hint="eastAsia"/>
                <w:szCs w:val="21"/>
              </w:rPr>
              <w:br w:type="textWrapping"/>
            </w:r>
            <w:r>
              <w:rPr>
                <w:rFonts w:hint="eastAsia"/>
                <w:szCs w:val="21"/>
              </w:rPr>
              <w:t>第三十六条第一款 建设工程开工前，建设单位应当向市、县级市城市管理行政主管部门申报建筑垃圾、工程渣土、工程泥浆产生量和处置方案，取得处置许可。未经许可的，不得擅自处置。</w:t>
            </w:r>
            <w:r>
              <w:rPr>
                <w:rFonts w:hint="eastAsia"/>
                <w:szCs w:val="21"/>
              </w:rPr>
              <w:br w:type="textWrapping"/>
            </w:r>
            <w:r>
              <w:rPr>
                <w:rFonts w:hint="eastAsia"/>
                <w:szCs w:val="21"/>
              </w:rPr>
              <w:br w:type="textWrapping"/>
            </w:r>
            <w:r>
              <w:rPr>
                <w:rFonts w:hint="eastAsia"/>
                <w:szCs w:val="21"/>
              </w:rPr>
              <w:t>《城市建筑垃圾管理规定》</w:t>
            </w:r>
            <w:r>
              <w:rPr>
                <w:rFonts w:hint="eastAsia"/>
                <w:szCs w:val="21"/>
              </w:rPr>
              <w:br w:type="textWrapping"/>
            </w:r>
            <w:r>
              <w:rPr>
                <w:rFonts w:hint="eastAsia"/>
                <w:szCs w:val="21"/>
              </w:rPr>
              <w:t>第二十五条 违反本规定，有下列情形之一的，由城市人民政府市容环境卫生主管部门责令限期改正，给予警告，对施工单位处1万元以上10万元以下罚款，对建设单位、运输建筑垃圾的单位处5000元以上3万元以下罚款：（一）未经核准擅自处置建筑垃圾的；</w:t>
            </w:r>
            <w:r>
              <w:rPr>
                <w:rFonts w:hint="eastAsia"/>
                <w:szCs w:val="21"/>
              </w:rPr>
              <w:br w:type="textWrapping"/>
            </w:r>
            <w:r>
              <w:rPr>
                <w:rFonts w:hint="eastAsia"/>
                <w:szCs w:val="21"/>
              </w:rPr>
              <w:br w:type="textWrapping"/>
            </w:r>
            <w:r>
              <w:rPr>
                <w:rFonts w:hint="eastAsia"/>
                <w:szCs w:val="21"/>
              </w:rPr>
              <w:t xml:space="preserve">《无锡市市容和环境卫生管理条例》   </w:t>
            </w:r>
            <w:r>
              <w:rPr>
                <w:rFonts w:hint="eastAsia"/>
                <w:szCs w:val="21"/>
              </w:rPr>
              <w:br w:type="textWrapping"/>
            </w:r>
            <w:r>
              <w:rPr>
                <w:rFonts w:hint="eastAsia"/>
                <w:szCs w:val="21"/>
              </w:rPr>
              <w:t>第七十一条 违反本条例关于建设工地管理规定的，由城市管理综合行政执法部门按照下列规定予以处罚：（一）违反本条例第三十六条第一款规定，未经许可处置建筑垃圾、工程渣土、工程泥浆的，责令限期改正，给予警告，对施工单位处以一万元以上十万元以下罚款，对建设单位、运输单位处以五千元以上三万元以下罚款。</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jc w:val="center"/>
              <w:rPr>
                <w:szCs w:val="21"/>
              </w:rPr>
            </w:pPr>
            <w:r>
              <w:rPr>
                <w:rFonts w:hint="eastAsia"/>
                <w:szCs w:val="21"/>
              </w:rPr>
              <w:t>★★★</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1.建设工程开工前，建设单位应当向市、县级市城市管理行政主管部门申报建筑垃圾、工程渣土、工程泥浆产生量和处置方案，取得处置许可。</w:t>
            </w:r>
            <w:r>
              <w:rPr>
                <w:rFonts w:hint="eastAsia"/>
                <w:szCs w:val="21"/>
              </w:rPr>
              <w:br w:type="textWrapping"/>
            </w:r>
            <w:r>
              <w:rPr>
                <w:rFonts w:hint="eastAsia"/>
                <w:szCs w:val="21"/>
              </w:rPr>
              <w:t>2.未经许可处置建筑垃圾、工程渣土、工程泥浆的，由城市管理综合行政执法部门依法处理。</w:t>
            </w:r>
          </w:p>
        </w:tc>
        <w:tc>
          <w:tcPr>
            <w:tcW w:w="1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jc w:val="center"/>
              <w:rPr>
                <w:szCs w:val="21"/>
              </w:rPr>
            </w:pPr>
            <w:r>
              <w:rPr>
                <w:rFonts w:hint="eastAsia"/>
                <w:szCs w:val="21"/>
              </w:rPr>
              <w:t>环卫管理科</w:t>
            </w:r>
          </w:p>
        </w:tc>
      </w:tr>
      <w:tr>
        <w:tblPrEx>
          <w:tblCellMar>
            <w:top w:w="0" w:type="dxa"/>
            <w:left w:w="108" w:type="dxa"/>
            <w:bottom w:w="0" w:type="dxa"/>
            <w:right w:w="108" w:type="dxa"/>
          </w:tblCellMar>
        </w:tblPrEx>
        <w:trPr>
          <w:trHeight w:val="818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jc w:val="center"/>
              <w:rPr>
                <w:szCs w:val="21"/>
              </w:rPr>
            </w:pPr>
            <w:r>
              <w:rPr>
                <w:rFonts w:hint="eastAsia"/>
                <w:szCs w:val="21"/>
              </w:rPr>
              <w:t>2</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店招标牌设施设置应当符合管理要求</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店招标牌设施设置：</w:t>
            </w:r>
            <w:r>
              <w:rPr>
                <w:rFonts w:hint="eastAsia"/>
                <w:szCs w:val="21"/>
              </w:rPr>
              <w:br w:type="textWrapping"/>
            </w:r>
            <w:r>
              <w:rPr>
                <w:rFonts w:hint="eastAsia"/>
                <w:szCs w:val="21"/>
              </w:rPr>
              <w:t>1.不符合店招标牌设施设置规划和城市街景规划（设计）要求；</w:t>
            </w:r>
            <w:r>
              <w:rPr>
                <w:rFonts w:hint="eastAsia"/>
                <w:szCs w:val="21"/>
              </w:rPr>
              <w:br w:type="textWrapping"/>
            </w:r>
            <w:r>
              <w:rPr>
                <w:rFonts w:hint="eastAsia"/>
                <w:szCs w:val="21"/>
              </w:rPr>
              <w:t>2.名称与营业证照、商标注册不相符；</w:t>
            </w:r>
            <w:r>
              <w:rPr>
                <w:rFonts w:hint="eastAsia"/>
                <w:szCs w:val="21"/>
              </w:rPr>
              <w:br w:type="textWrapping"/>
            </w:r>
            <w:r>
              <w:rPr>
                <w:rFonts w:hint="eastAsia"/>
                <w:szCs w:val="21"/>
              </w:rPr>
              <w:t>3.25米以上建（构）筑物屋顶设置店招标牌；</w:t>
            </w:r>
            <w:r>
              <w:rPr>
                <w:rFonts w:hint="eastAsia"/>
                <w:szCs w:val="21"/>
              </w:rPr>
              <w:br w:type="textWrapping"/>
            </w:r>
            <w:r>
              <w:rPr>
                <w:rFonts w:hint="eastAsia"/>
                <w:szCs w:val="21"/>
              </w:rPr>
              <w:t>4.利用店招标牌设施发布或变相发布户外广告。</w:t>
            </w:r>
          </w:p>
        </w:tc>
        <w:tc>
          <w:tcPr>
            <w:tcW w:w="43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《无锡市户外广告和店招标牌设施设置管理办法》</w:t>
            </w:r>
            <w:r>
              <w:rPr>
                <w:rFonts w:hint="eastAsia"/>
                <w:szCs w:val="21"/>
              </w:rPr>
              <w:br w:type="textWrapping"/>
            </w:r>
            <w:r>
              <w:rPr>
                <w:rFonts w:hint="eastAsia"/>
                <w:szCs w:val="21"/>
              </w:rPr>
              <w:t>第十七条 店招标牌设施设置应当符合下列要求：</w:t>
            </w:r>
            <w:r>
              <w:rPr>
                <w:rFonts w:hint="eastAsia"/>
                <w:szCs w:val="21"/>
              </w:rPr>
              <w:br w:type="textWrapping"/>
            </w:r>
            <w:r>
              <w:rPr>
                <w:rFonts w:hint="eastAsia"/>
                <w:szCs w:val="21"/>
              </w:rPr>
              <w:t>（一）符合店招标牌设施设置规划和城市街景规划（设计）要求；</w:t>
            </w:r>
            <w:r>
              <w:rPr>
                <w:rFonts w:hint="eastAsia"/>
                <w:szCs w:val="21"/>
              </w:rPr>
              <w:br w:type="textWrapping"/>
            </w:r>
            <w:r>
              <w:rPr>
                <w:rFonts w:hint="eastAsia"/>
                <w:szCs w:val="21"/>
              </w:rPr>
              <w:t>（二）名称与营业证照、商标注册相符；</w:t>
            </w:r>
            <w:r>
              <w:rPr>
                <w:rFonts w:hint="eastAsia"/>
                <w:szCs w:val="21"/>
              </w:rPr>
              <w:br w:type="textWrapping"/>
            </w:r>
            <w:r>
              <w:rPr>
                <w:rFonts w:hint="eastAsia"/>
                <w:szCs w:val="21"/>
              </w:rPr>
              <w:t>（三）按照国家通用语言文字规范使用文字、汉语拼音，使用外国文字的，按照规定同时使用中文；</w:t>
            </w:r>
            <w:r>
              <w:rPr>
                <w:rFonts w:hint="eastAsia"/>
                <w:szCs w:val="21"/>
              </w:rPr>
              <w:br w:type="textWrapping"/>
            </w:r>
            <w:r>
              <w:rPr>
                <w:rFonts w:hint="eastAsia"/>
                <w:szCs w:val="21"/>
              </w:rPr>
              <w:t>（四）25米以上建（构）筑物屋顶不得设置店招标牌；</w:t>
            </w:r>
            <w:r>
              <w:rPr>
                <w:rFonts w:hint="eastAsia"/>
                <w:szCs w:val="21"/>
              </w:rPr>
              <w:br w:type="textWrapping"/>
            </w:r>
            <w:r>
              <w:rPr>
                <w:rFonts w:hint="eastAsia"/>
                <w:szCs w:val="21"/>
              </w:rPr>
              <w:t>（五）不得影响建（构）筑物采光通风以及消防安全；</w:t>
            </w:r>
            <w:r>
              <w:rPr>
                <w:rFonts w:hint="eastAsia"/>
                <w:szCs w:val="21"/>
              </w:rPr>
              <w:br w:type="textWrapping"/>
            </w:r>
            <w:r>
              <w:rPr>
                <w:rFonts w:hint="eastAsia"/>
                <w:szCs w:val="21"/>
              </w:rPr>
              <w:t>（六）依法应当符合的其他要求。</w:t>
            </w:r>
            <w:r>
              <w:rPr>
                <w:rFonts w:hint="eastAsia"/>
                <w:szCs w:val="21"/>
              </w:rPr>
              <w:br w:type="textWrapping"/>
            </w:r>
            <w:r>
              <w:rPr>
                <w:rFonts w:hint="eastAsia"/>
                <w:szCs w:val="21"/>
              </w:rPr>
              <w:t>第三十五条 任何单位和个人，不得违反规定设置店招标牌。</w:t>
            </w:r>
            <w:r>
              <w:rPr>
                <w:rFonts w:hint="eastAsia"/>
                <w:szCs w:val="21"/>
              </w:rPr>
              <w:br w:type="textWrapping"/>
            </w:r>
            <w:r>
              <w:rPr>
                <w:rFonts w:hint="eastAsia"/>
                <w:szCs w:val="21"/>
              </w:rPr>
              <w:t>店招标牌禁止发布或者变相发布户外广告。</w:t>
            </w:r>
            <w:r>
              <w:rPr>
                <w:rFonts w:hint="eastAsia"/>
                <w:szCs w:val="21"/>
              </w:rPr>
              <w:br w:type="textWrapping"/>
            </w:r>
            <w:r>
              <w:rPr>
                <w:rFonts w:hint="eastAsia"/>
                <w:szCs w:val="21"/>
              </w:rPr>
              <w:br w:type="textWrapping"/>
            </w:r>
            <w:r>
              <w:rPr>
                <w:rFonts w:hint="eastAsia"/>
                <w:szCs w:val="21"/>
              </w:rPr>
              <w:t>第四十五条 有下列情形之一的，由城市管理行政执法部门责令限期改正；逾期未改正的，处2000元以上5000元以下罚款：</w:t>
            </w:r>
            <w:r>
              <w:rPr>
                <w:rFonts w:hint="eastAsia"/>
                <w:szCs w:val="21"/>
              </w:rPr>
              <w:br w:type="textWrapping"/>
            </w:r>
            <w:r>
              <w:rPr>
                <w:rFonts w:hint="eastAsia"/>
                <w:szCs w:val="21"/>
              </w:rPr>
              <w:t>（一）违反本办法第十六条规定，利用建（构）筑物玻璃幕墙、临街门窗等内外侧，以悬挂、张贴等形式设置户外广告，不符合城市容貌标准、户外广告设施设置详细规划的；</w:t>
            </w:r>
            <w:r>
              <w:rPr>
                <w:rFonts w:hint="eastAsia"/>
                <w:szCs w:val="21"/>
              </w:rPr>
              <w:br w:type="textWrapping"/>
            </w:r>
            <w:r>
              <w:rPr>
                <w:rFonts w:hint="eastAsia"/>
                <w:szCs w:val="21"/>
              </w:rPr>
              <w:t>（二）违反本办法第十七条第一项规定，店招标牌设施设置不符合店招标牌设施设置规划和城市街景规划（设计）要求的；</w:t>
            </w:r>
            <w:r>
              <w:rPr>
                <w:rFonts w:hint="eastAsia"/>
                <w:szCs w:val="21"/>
              </w:rPr>
              <w:br w:type="textWrapping"/>
            </w:r>
            <w:r>
              <w:rPr>
                <w:rFonts w:hint="eastAsia"/>
                <w:szCs w:val="21"/>
              </w:rPr>
              <w:t>（三）违反本办法第十七条第二项规定，店招标牌设施设置名称与营业证照、商标注册不相符的；</w:t>
            </w:r>
            <w:r>
              <w:rPr>
                <w:rFonts w:hint="eastAsia"/>
                <w:szCs w:val="21"/>
              </w:rPr>
              <w:br w:type="textWrapping"/>
            </w:r>
            <w:r>
              <w:rPr>
                <w:rFonts w:hint="eastAsia"/>
                <w:szCs w:val="21"/>
              </w:rPr>
              <w:t>（四）违反本办法第十七条第五项规定，店招标牌设施设置影响建（构）筑物采光通风以及消防安全的；</w:t>
            </w:r>
            <w:r>
              <w:rPr>
                <w:rFonts w:hint="eastAsia"/>
                <w:szCs w:val="21"/>
              </w:rPr>
              <w:br w:type="textWrapping"/>
            </w:r>
            <w:r>
              <w:rPr>
                <w:rFonts w:hint="eastAsia"/>
                <w:szCs w:val="21"/>
              </w:rPr>
              <w:t>（五）违反本办法第三十六条第一款规定，因搬迁、解散或者被吊销营业执照等情形，设置者不在原经营场所继续经营，未自行拆除店招标牌，恢复附着建（构）筑物原貌的。</w:t>
            </w:r>
            <w:r>
              <w:rPr>
                <w:rFonts w:hint="eastAsia"/>
                <w:szCs w:val="21"/>
              </w:rPr>
              <w:br w:type="textWrapping"/>
            </w:r>
            <w:r>
              <w:rPr>
                <w:rFonts w:hint="eastAsia"/>
                <w:szCs w:val="21"/>
              </w:rPr>
              <w:t>第四十七条 有下列情形之一的，由城市管理行政执法部门责令限期改正，处5000元以上20000元以下罚款：（三）违反本办法第三十五条第二款规定，店招标牌发布或者变相发布户外广告的。</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jc w:val="center"/>
              <w:rPr>
                <w:szCs w:val="21"/>
              </w:rPr>
            </w:pPr>
            <w:r>
              <w:rPr>
                <w:rFonts w:hint="eastAsia"/>
                <w:szCs w:val="21"/>
              </w:rPr>
              <w:t>★★★</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1.沿街商业经营者在设置店招标牌设施前，应主动前往属地街道服务中心广告窗口备案。</w:t>
            </w:r>
            <w:r>
              <w:rPr>
                <w:rFonts w:hint="eastAsia"/>
                <w:szCs w:val="21"/>
              </w:rPr>
              <w:br w:type="textWrapping"/>
            </w:r>
            <w:r>
              <w:rPr>
                <w:rFonts w:hint="eastAsia"/>
                <w:szCs w:val="21"/>
              </w:rPr>
              <w:t>2.名称与营业证照、商标注册相符；</w:t>
            </w:r>
            <w:r>
              <w:rPr>
                <w:rFonts w:hint="eastAsia"/>
                <w:szCs w:val="21"/>
              </w:rPr>
              <w:br w:type="textWrapping"/>
            </w:r>
            <w:r>
              <w:rPr>
                <w:rFonts w:hint="eastAsia"/>
                <w:szCs w:val="21"/>
              </w:rPr>
              <w:t>3.25米以上建（构）筑物屋顶不设置店招标牌设施。</w:t>
            </w:r>
            <w:r>
              <w:rPr>
                <w:rFonts w:hint="eastAsia"/>
                <w:szCs w:val="21"/>
              </w:rPr>
              <w:br w:type="textWrapping"/>
            </w:r>
            <w:r>
              <w:rPr>
                <w:rFonts w:hint="eastAsia"/>
                <w:szCs w:val="21"/>
              </w:rPr>
              <w:t>4.店招标牌上不宣传发布户外广告。</w:t>
            </w:r>
          </w:p>
        </w:tc>
        <w:tc>
          <w:tcPr>
            <w:tcW w:w="1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jc w:val="center"/>
              <w:rPr>
                <w:szCs w:val="21"/>
              </w:rPr>
            </w:pPr>
            <w:r>
              <w:rPr>
                <w:rFonts w:hint="eastAsia"/>
                <w:szCs w:val="21"/>
              </w:rPr>
              <w:t>市容管理科</w:t>
            </w:r>
          </w:p>
        </w:tc>
      </w:tr>
      <w:tr>
        <w:tblPrEx>
          <w:tblCellMar>
            <w:top w:w="0" w:type="dxa"/>
            <w:left w:w="108" w:type="dxa"/>
            <w:bottom w:w="0" w:type="dxa"/>
            <w:right w:w="108" w:type="dxa"/>
          </w:tblCellMar>
        </w:tblPrEx>
        <w:trPr>
          <w:trHeight w:val="418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jc w:val="center"/>
              <w:rPr>
                <w:szCs w:val="21"/>
              </w:rPr>
            </w:pPr>
            <w:r>
              <w:rPr>
                <w:rFonts w:hint="eastAsia"/>
                <w:szCs w:val="21"/>
              </w:rPr>
              <w:t>3</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餐饮用户应当安装使用燃气泄漏安全保护装置。</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餐饮用户未安装使用燃气泄漏安全保护装置。</w:t>
            </w:r>
          </w:p>
        </w:tc>
        <w:tc>
          <w:tcPr>
            <w:tcW w:w="43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br w:type="textWrapping"/>
            </w:r>
            <w:r>
              <w:rPr>
                <w:rFonts w:hint="eastAsia"/>
                <w:szCs w:val="21"/>
              </w:rPr>
              <w:t>《无锡市燃气管理条例》</w:t>
            </w:r>
            <w:r>
              <w:rPr>
                <w:rFonts w:hint="eastAsia"/>
                <w:szCs w:val="21"/>
              </w:rPr>
              <w:br w:type="textWrapping"/>
            </w:r>
            <w:r>
              <w:rPr>
                <w:rFonts w:hint="eastAsia"/>
                <w:szCs w:val="21"/>
              </w:rPr>
              <w:t>第三十三条下列用户应当安装燃气泄漏安全保护装置，并保障其正常使用:</w:t>
            </w:r>
            <w:r>
              <w:rPr>
                <w:rFonts w:hint="eastAsia"/>
                <w:szCs w:val="21"/>
              </w:rPr>
              <w:br w:type="textWrapping"/>
            </w:r>
            <w:r>
              <w:rPr>
                <w:rFonts w:hint="eastAsia"/>
                <w:szCs w:val="21"/>
              </w:rPr>
              <w:t>(一)使用燃气的餐饮等行业的生产经营单位；</w:t>
            </w:r>
            <w:r>
              <w:rPr>
                <w:rFonts w:hint="eastAsia"/>
                <w:szCs w:val="21"/>
              </w:rPr>
              <w:br w:type="textWrapping"/>
            </w:r>
            <w:r>
              <w:rPr>
                <w:rFonts w:hint="eastAsia"/>
                <w:szCs w:val="21"/>
              </w:rPr>
              <w:t>(二)学校、医院、养老机构、宗教活动场所、机关单位食堂等用户；</w:t>
            </w:r>
            <w:r>
              <w:rPr>
                <w:rFonts w:hint="eastAsia"/>
                <w:szCs w:val="21"/>
              </w:rPr>
              <w:br w:type="textWrapping"/>
            </w:r>
            <w:r>
              <w:rPr>
                <w:rFonts w:hint="eastAsia"/>
                <w:szCs w:val="21"/>
              </w:rPr>
              <w:t>(三)建筑高度大于一百米的高层建筑内所有居民用户；</w:t>
            </w:r>
            <w:r>
              <w:rPr>
                <w:rFonts w:hint="eastAsia"/>
                <w:szCs w:val="21"/>
              </w:rPr>
              <w:br w:type="textWrapping"/>
            </w:r>
            <w:r>
              <w:rPr>
                <w:rFonts w:hint="eastAsia"/>
                <w:szCs w:val="21"/>
              </w:rPr>
              <w:t>(四)在室内公共场所使用燃气的用户；</w:t>
            </w:r>
            <w:r>
              <w:rPr>
                <w:rFonts w:hint="eastAsia"/>
                <w:szCs w:val="21"/>
              </w:rPr>
              <w:br w:type="textWrapping"/>
            </w:r>
            <w:r>
              <w:rPr>
                <w:rFonts w:hint="eastAsia"/>
                <w:szCs w:val="21"/>
              </w:rPr>
              <w:t>(五)在符合用气条件的地下或者半地下建筑物内使用管道燃气的用户。</w:t>
            </w:r>
            <w:r>
              <w:rPr>
                <w:rFonts w:hint="eastAsia"/>
                <w:szCs w:val="21"/>
              </w:rPr>
              <w:br w:type="textWrapping"/>
            </w:r>
            <w:r>
              <w:rPr>
                <w:rFonts w:hint="eastAsia"/>
                <w:szCs w:val="21"/>
              </w:rPr>
              <w:t>第六十四条 违反本条例第三十三条第一款第二项至第五项规定，未安装使用燃气泄漏安全保护装置的，由燃气主管部门责令限期改正；逾期不改正的，对单位可以处以一万元以上十万元以下罚款，对个人可以处以一百元以上一千元以下罚款；造成损失的，依法承担赔偿责任；构成犯罪的，依法追究刑事责任。</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jc w:val="center"/>
              <w:rPr>
                <w:szCs w:val="21"/>
              </w:rPr>
            </w:pPr>
            <w:r>
              <w:rPr>
                <w:rFonts w:hint="eastAsia"/>
                <w:szCs w:val="21"/>
              </w:rPr>
              <w:t>★★★</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用户在办理工商营业执照后，向属地燃气管理部门申请燃气泄漏安全保护装置的安装及相关信息接入统一的燃气安全智慧管理平台。</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市政绿化管理科</w:t>
            </w:r>
          </w:p>
        </w:tc>
      </w:tr>
      <w:tr>
        <w:tblPrEx>
          <w:tblCellMar>
            <w:top w:w="0" w:type="dxa"/>
            <w:left w:w="108" w:type="dxa"/>
            <w:bottom w:w="0" w:type="dxa"/>
            <w:right w:w="108" w:type="dxa"/>
          </w:tblCellMar>
        </w:tblPrEx>
        <w:trPr>
          <w:trHeight w:val="6803"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jc w:val="center"/>
              <w:rPr>
                <w:szCs w:val="21"/>
              </w:rPr>
            </w:pPr>
            <w:r>
              <w:rPr>
                <w:rFonts w:hint="eastAsia"/>
                <w:szCs w:val="21"/>
              </w:rPr>
              <w:t>4</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燃气用户及相关单位和个人在具备安全条件的场所使用燃气</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用户在不具备安全条件下使用燃气</w:t>
            </w:r>
          </w:p>
        </w:tc>
        <w:tc>
          <w:tcPr>
            <w:tcW w:w="43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《城镇燃气管理条例》</w:t>
            </w:r>
            <w:r>
              <w:rPr>
                <w:rFonts w:hint="eastAsia"/>
                <w:szCs w:val="21"/>
              </w:rPr>
              <w:br w:type="textWrapping"/>
            </w:r>
            <w:r>
              <w:rPr>
                <w:rFonts w:hint="eastAsia"/>
                <w:szCs w:val="21"/>
              </w:rPr>
              <w:t xml:space="preserve">第二十八条 燃气用户及相关单位和个人不得有下列行为： </w:t>
            </w:r>
            <w:r>
              <w:rPr>
                <w:rFonts w:hint="eastAsia"/>
                <w:szCs w:val="21"/>
              </w:rPr>
              <w:br w:type="textWrapping"/>
            </w:r>
            <w:r>
              <w:rPr>
                <w:rFonts w:hint="eastAsia"/>
                <w:szCs w:val="21"/>
              </w:rPr>
              <w:t>（五）在不具备安全条件的场所使用、储存燃气。</w:t>
            </w:r>
            <w:r>
              <w:rPr>
                <w:rFonts w:hint="eastAsia"/>
                <w:szCs w:val="21"/>
              </w:rPr>
              <w:br w:type="textWrapping"/>
            </w:r>
            <w:r>
              <w:rPr>
                <w:rFonts w:hint="eastAsia"/>
                <w:szCs w:val="21"/>
              </w:rPr>
              <w:t xml:space="preserve">第四十九条第一款  违反本条例规定，燃气用户及相关单位和个人有下列行为之一的，由燃气管理部门责令限期改正；逾期不改正的，对单位可以处10万元以下罚款，对个人可以处1000元以下罚款；造成损失的，依法承担赔偿责任；构成犯罪的，依法追究刑事责任： </w:t>
            </w:r>
            <w:r>
              <w:rPr>
                <w:rFonts w:hint="eastAsia"/>
                <w:szCs w:val="21"/>
              </w:rPr>
              <w:br w:type="textWrapping"/>
            </w:r>
            <w:r>
              <w:rPr>
                <w:rFonts w:hint="eastAsia"/>
                <w:szCs w:val="21"/>
              </w:rPr>
              <w:t>（五）在不具备安全条件的场所使用、储存燃气的。</w:t>
            </w:r>
            <w:r>
              <w:rPr>
                <w:rFonts w:hint="eastAsia"/>
                <w:szCs w:val="21"/>
              </w:rPr>
              <w:br w:type="textWrapping"/>
            </w:r>
            <w:r>
              <w:rPr>
                <w:rFonts w:hint="eastAsia"/>
                <w:szCs w:val="21"/>
              </w:rPr>
              <w:t>【地方性法规】《江苏省燃气管理条例》（2020年5月1日）</w:t>
            </w:r>
            <w:r>
              <w:rPr>
                <w:rFonts w:hint="eastAsia"/>
                <w:szCs w:val="21"/>
              </w:rPr>
              <w:br w:type="textWrapping"/>
            </w:r>
            <w:r>
              <w:rPr>
                <w:rFonts w:hint="eastAsia"/>
                <w:szCs w:val="21"/>
              </w:rPr>
              <w:t>第三十七条 用户及相关单位和个人不得有下列行为：</w:t>
            </w:r>
            <w:r>
              <w:rPr>
                <w:rFonts w:hint="eastAsia"/>
                <w:szCs w:val="21"/>
              </w:rPr>
              <w:br w:type="textWrapping"/>
            </w:r>
            <w:r>
              <w:rPr>
                <w:rFonts w:hint="eastAsia"/>
                <w:szCs w:val="21"/>
              </w:rPr>
              <w:t>（五）在不具备安全条件的场所使用、储存燃气；</w:t>
            </w:r>
            <w:r>
              <w:rPr>
                <w:rFonts w:hint="eastAsia"/>
                <w:szCs w:val="21"/>
              </w:rPr>
              <w:br w:type="textWrapping"/>
            </w:r>
            <w:r>
              <w:rPr>
                <w:rFonts w:hint="eastAsia"/>
                <w:szCs w:val="21"/>
              </w:rPr>
              <w:t>第六十三条 违反本条例第三十三第三款，第三十七条第一款第一项至第六项规定的，由燃气主管部门责令限期改正；逾期不改正的，对单位可以处十万元以下罚款，对个人可以处一千元以下罚款；造成损失的，依法承担赔偿责任；构成犯罪的，依法追究刑事责任。</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jc w:val="center"/>
              <w:rPr>
                <w:szCs w:val="21"/>
              </w:rPr>
            </w:pPr>
            <w:r>
              <w:rPr>
                <w:rFonts w:hint="eastAsia"/>
                <w:szCs w:val="21"/>
              </w:rPr>
              <w:t>★★★</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用气场所要求：</w:t>
            </w:r>
            <w:r>
              <w:rPr>
                <w:rFonts w:hint="eastAsia"/>
                <w:szCs w:val="21"/>
              </w:rPr>
              <w:br w:type="textWrapping"/>
            </w:r>
            <w:r>
              <w:rPr>
                <w:rFonts w:hint="eastAsia"/>
                <w:szCs w:val="21"/>
              </w:rPr>
              <w:t>（一）采用城市管道燃气供气方式的，用气场所的燃气调压、计量、管道、阀门等设施的设置应符合《城镇燃气设计规范》（GB50028）的规定。</w:t>
            </w:r>
            <w:r>
              <w:rPr>
                <w:rFonts w:hint="eastAsia"/>
                <w:szCs w:val="21"/>
              </w:rPr>
              <w:br w:type="textWrapping"/>
            </w:r>
            <w:r>
              <w:rPr>
                <w:rFonts w:hint="eastAsia"/>
                <w:szCs w:val="21"/>
              </w:rPr>
              <w:t>（二）用气场所应当按照有关规定安装可燃气体浓度探测和报警装置，进行定期测试并记录，确保处于灵敏有效状态，并按标准配备干粉灭火器等消防器材。</w:t>
            </w:r>
            <w:r>
              <w:rPr>
                <w:rFonts w:hint="eastAsia"/>
                <w:szCs w:val="21"/>
              </w:rPr>
              <w:br w:type="textWrapping"/>
            </w:r>
            <w:r>
              <w:rPr>
                <w:rFonts w:hint="eastAsia"/>
                <w:szCs w:val="21"/>
              </w:rPr>
              <w:t>（三）用气场所放置的钢瓶必须采用单瓶形式与燃气燃烧器具连接，与燃气燃烧器具的水平净距不应小于0.5米。</w:t>
            </w:r>
            <w:r>
              <w:rPr>
                <w:rFonts w:hint="eastAsia"/>
                <w:szCs w:val="21"/>
              </w:rPr>
              <w:br w:type="textWrapping"/>
            </w:r>
            <w:r>
              <w:rPr>
                <w:rFonts w:hint="eastAsia"/>
                <w:szCs w:val="21"/>
              </w:rPr>
              <w:t>（四）用气场所须具备良好的通风条件，并设置满足通风需求的机械送排风装置，燃具上方应设置有效排除燃烧烟气设施。</w:t>
            </w:r>
            <w:r>
              <w:rPr>
                <w:rFonts w:hint="eastAsia"/>
                <w:szCs w:val="21"/>
              </w:rPr>
              <w:br w:type="textWrapping"/>
            </w:r>
            <w:r>
              <w:rPr>
                <w:rFonts w:hint="eastAsia"/>
                <w:szCs w:val="21"/>
              </w:rPr>
              <w:t>（五）用餐场所严禁放置液化石油气钢瓶。</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市政绿化管理科</w:t>
            </w:r>
          </w:p>
        </w:tc>
      </w:tr>
      <w:tr>
        <w:tblPrEx>
          <w:tblCellMar>
            <w:top w:w="0" w:type="dxa"/>
            <w:left w:w="108" w:type="dxa"/>
            <w:bottom w:w="0" w:type="dxa"/>
            <w:right w:w="108" w:type="dxa"/>
          </w:tblCellMar>
        </w:tblPrEx>
        <w:trPr>
          <w:trHeight w:val="3720" w:hRule="atLeast"/>
        </w:trPr>
        <w:tc>
          <w:tcPr>
            <w:tcW w:w="879" w:type="dxa"/>
            <w:tcBorders>
              <w:top w:val="nil"/>
              <w:left w:val="single" w:color="000000" w:sz="4" w:space="0"/>
              <w:bottom w:val="single" w:color="000000" w:sz="4" w:space="0"/>
              <w:right w:val="single" w:color="000000" w:sz="4" w:space="0"/>
            </w:tcBorders>
            <w:shd w:val="clear" w:color="auto" w:fill="auto"/>
            <w:noWrap/>
            <w:vAlign w:val="center"/>
          </w:tcPr>
          <w:p>
            <w:pPr>
              <w:spacing w:line="280" w:lineRule="exact"/>
              <w:jc w:val="center"/>
              <w:rPr>
                <w:szCs w:val="21"/>
              </w:rPr>
            </w:pPr>
            <w:r>
              <w:rPr>
                <w:rFonts w:hint="eastAsia"/>
                <w:szCs w:val="21"/>
              </w:rPr>
              <w:t>5</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建设工程施工范围内有地下燃气管线等重要燃气设施的，建设单位应当会同施工单位与管道燃气经营者共同制定燃气设施保护方案</w:t>
            </w:r>
          </w:p>
        </w:tc>
        <w:tc>
          <w:tcPr>
            <w:tcW w:w="230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建设工程施工范围内有地下燃气管线等重要燃气设施，建设单位未会同施工单位与管道燃气经营者共同制定燃气设施保护方案，或者建设单位、施工单位未采取相应的安全保护措施</w:t>
            </w:r>
          </w:p>
        </w:tc>
        <w:tc>
          <w:tcPr>
            <w:tcW w:w="433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《城镇燃气管理条例》</w:t>
            </w:r>
            <w:r>
              <w:rPr>
                <w:rFonts w:hint="eastAsia"/>
                <w:szCs w:val="21"/>
              </w:rPr>
              <w:br w:type="textWrapping"/>
            </w:r>
            <w:r>
              <w:rPr>
                <w:rFonts w:hint="eastAsia"/>
                <w:szCs w:val="21"/>
              </w:rPr>
              <w:t>第三十七条第三款 建设工程施工范围内有地下燃气管线等重要燃气设施的，建设单位应当会同施工单位与管道燃气经营者共同制定燃气设施保护方案。建设单位、施工单位应当采取相应的安全保护措施，确保燃气设施运行安全；管道燃气经营者应当派专业人员进行现场指导。法律、法规另有规定的，依照有关法律、法规的规定执行。</w:t>
            </w:r>
            <w:r>
              <w:rPr>
                <w:rFonts w:hint="eastAsia"/>
                <w:szCs w:val="21"/>
              </w:rPr>
              <w:br w:type="textWrapping"/>
            </w:r>
            <w:r>
              <w:rPr>
                <w:rFonts w:hint="eastAsia"/>
                <w:szCs w:val="21"/>
              </w:rPr>
              <w:t>第五十二条 违反本条例规定，建设工程施工范围内有地下燃气管线等重要燃气设施，建设单位未会同施工单位与管道燃气经营者共同制定燃气设施保护方案，或者建设单位、施工单位未采取相应的安全保护措施的，由燃气管理部门责令改正，处1万元以上10万元以下罚款；造成损失的，依法承担赔偿责任；构成犯罪的，依法追究刑事责任。</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jc w:val="center"/>
              <w:rPr>
                <w:szCs w:val="21"/>
              </w:rPr>
            </w:pPr>
            <w:r>
              <w:rPr>
                <w:rFonts w:hint="eastAsia"/>
                <w:szCs w:val="21"/>
              </w:rPr>
              <w:t>★★</w:t>
            </w:r>
          </w:p>
        </w:tc>
        <w:tc>
          <w:tcPr>
            <w:tcW w:w="295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建设工程施工范围内有地下燃气管线等重要燃气设施的，建设单位应当会同施工单位与管道燃气经营者共同制定燃气设施保护方案。建设单位、施工单位应当采取相应的安全保护措施，确保燃气设施运行安全；管道燃气经营者应当派专业人员进行现场指导。</w:t>
            </w:r>
          </w:p>
        </w:tc>
        <w:tc>
          <w:tcPr>
            <w:tcW w:w="15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80" w:lineRule="exact"/>
              <w:jc w:val="center"/>
              <w:rPr>
                <w:szCs w:val="21"/>
              </w:rPr>
            </w:pPr>
            <w:r>
              <w:rPr>
                <w:rFonts w:hint="eastAsia"/>
                <w:szCs w:val="21"/>
              </w:rPr>
              <w:t>市政绿化管理科</w:t>
            </w:r>
          </w:p>
        </w:tc>
      </w:tr>
    </w:tbl>
    <w:p>
      <w:pPr>
        <w:widowControl/>
        <w:spacing w:line="300" w:lineRule="exact"/>
        <w:rPr>
          <w:rFonts w:eastAsia="方正楷体_GBK"/>
          <w:szCs w:val="21"/>
        </w:rPr>
      </w:pPr>
      <w:r>
        <w:rPr>
          <w:rFonts w:hint="eastAsia" w:eastAsia="方正楷体_GBK"/>
          <w:szCs w:val="21"/>
        </w:rPr>
        <w:t>备注：风险等级，发生频率较高的为★★★，发生频率一般的为★★，发生频率较少的为★。</w:t>
      </w:r>
    </w:p>
    <w:p/>
    <w:p/>
    <w:p/>
    <w:p/>
    <w:p/>
    <w:p/>
    <w:p/>
    <w:p>
      <w:pPr>
        <w:overflowPunct w:val="0"/>
        <w:autoSpaceDE w:val="0"/>
        <w:autoSpaceDN w:val="0"/>
        <w:adjustRightInd w:val="0"/>
        <w:jc w:val="center"/>
        <w:rPr>
          <w:rFonts w:hint="eastAsia" w:ascii="方正小标宋_GBK" w:hAnsi="华文中宋" w:eastAsia="方正小标宋_GBK"/>
          <w:kern w:val="0"/>
          <w:sz w:val="36"/>
          <w:szCs w:val="36"/>
          <w:lang w:eastAsia="zh-CN"/>
        </w:rPr>
      </w:pPr>
      <w:r>
        <w:rPr>
          <w:rFonts w:hint="eastAsia" w:ascii="方正小标宋_GBK" w:hAnsi="华文中宋" w:eastAsia="方正小标宋_GBK"/>
          <w:kern w:val="0"/>
          <w:sz w:val="36"/>
          <w:szCs w:val="36"/>
          <w:lang w:eastAsia="zh-CN"/>
        </w:rPr>
        <w:t>梁溪区企业行政合规指导清单（第一批）</w:t>
      </w:r>
    </w:p>
    <w:p>
      <w:pPr>
        <w:overflowPunct w:val="0"/>
        <w:autoSpaceDE w:val="0"/>
        <w:autoSpaceDN w:val="0"/>
        <w:adjustRightInd w:val="0"/>
        <w:jc w:val="center"/>
        <w:rPr>
          <w:rFonts w:ascii="方正小标宋_GBK" w:hAnsi="华文中宋" w:eastAsia="方正小标宋_GBK"/>
          <w:kern w:val="0"/>
          <w:sz w:val="36"/>
          <w:szCs w:val="36"/>
        </w:rPr>
      </w:pPr>
      <w:r>
        <w:rPr>
          <w:rFonts w:hint="eastAsia" w:ascii="方正小标宋_GBK" w:hAnsi="华文中宋" w:eastAsia="方正小标宋_GBK"/>
          <w:kern w:val="0"/>
          <w:sz w:val="36"/>
          <w:szCs w:val="36"/>
        </w:rPr>
        <w:t>（区卫生健康委员会）</w:t>
      </w:r>
    </w:p>
    <w:tbl>
      <w:tblPr>
        <w:tblStyle w:val="6"/>
        <w:tblW w:w="1459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9"/>
        <w:gridCol w:w="1774"/>
        <w:gridCol w:w="2302"/>
        <w:gridCol w:w="4337"/>
        <w:gridCol w:w="765"/>
        <w:gridCol w:w="41"/>
        <w:gridCol w:w="2918"/>
        <w:gridCol w:w="15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5" w:hRule="atLeast"/>
          <w:tblHeader/>
          <w:jc w:val="center"/>
        </w:trPr>
        <w:tc>
          <w:tcPr>
            <w:tcW w:w="879" w:type="dxa"/>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序号</w:t>
            </w:r>
          </w:p>
        </w:tc>
        <w:tc>
          <w:tcPr>
            <w:tcW w:w="1774" w:type="dxa"/>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行政合规</w:t>
            </w:r>
          </w:p>
          <w:p>
            <w:pPr>
              <w:spacing w:line="280" w:lineRule="exact"/>
              <w:jc w:val="center"/>
              <w:rPr>
                <w:rFonts w:ascii="方正黑体_GBK" w:hAnsi="黑体" w:eastAsia="方正黑体_GBK"/>
                <w:szCs w:val="21"/>
              </w:rPr>
            </w:pPr>
            <w:r>
              <w:rPr>
                <w:rFonts w:hint="eastAsia" w:ascii="方正黑体_GBK" w:hAnsi="黑体" w:eastAsia="方正黑体_GBK"/>
                <w:szCs w:val="21"/>
              </w:rPr>
              <w:t>事项</w:t>
            </w:r>
          </w:p>
        </w:tc>
        <w:tc>
          <w:tcPr>
            <w:tcW w:w="2302" w:type="dxa"/>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常见违法行为表现</w:t>
            </w:r>
          </w:p>
        </w:tc>
        <w:tc>
          <w:tcPr>
            <w:tcW w:w="4337" w:type="dxa"/>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法律依据及违法责任</w:t>
            </w:r>
          </w:p>
        </w:tc>
        <w:tc>
          <w:tcPr>
            <w:tcW w:w="765" w:type="dxa"/>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风险等级</w:t>
            </w:r>
          </w:p>
        </w:tc>
        <w:tc>
          <w:tcPr>
            <w:tcW w:w="2959" w:type="dxa"/>
            <w:gridSpan w:val="2"/>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合规建议</w:t>
            </w:r>
          </w:p>
        </w:tc>
        <w:tc>
          <w:tcPr>
            <w:tcW w:w="1576" w:type="dxa"/>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指导部门（科室）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79" w:type="dxa"/>
            <w:vAlign w:val="center"/>
          </w:tcPr>
          <w:p>
            <w:pPr>
              <w:spacing w:line="280" w:lineRule="exact"/>
              <w:jc w:val="center"/>
              <w:rPr>
                <w:szCs w:val="21"/>
              </w:rPr>
            </w:pPr>
            <w:r>
              <w:rPr>
                <w:szCs w:val="21"/>
              </w:rPr>
              <w:t>1</w:t>
            </w:r>
          </w:p>
        </w:tc>
        <w:tc>
          <w:tcPr>
            <w:tcW w:w="1774" w:type="dxa"/>
            <w:vAlign w:val="center"/>
          </w:tcPr>
          <w:p>
            <w:pPr>
              <w:adjustRightInd w:val="0"/>
              <w:spacing w:line="266" w:lineRule="exact"/>
              <w:ind w:firstLine="420" w:firstLineChars="200"/>
              <w:rPr>
                <w:rFonts w:ascii="宋体" w:hAnsi="宋体"/>
                <w:szCs w:val="21"/>
              </w:rPr>
            </w:pPr>
            <w:r>
              <w:rPr>
                <w:rFonts w:hint="eastAsia" w:ascii="宋体" w:hAnsi="宋体"/>
                <w:szCs w:val="21"/>
              </w:rPr>
              <w:t>对从事接触职业病危害的作业的劳动者，用人单位应当按照规定组织上岗前、在岗期间和离岗时的职业健康检查，并将检查结果书面告知劳动者。用人单位不得安排未经上岗前职业健康检查的劳动者从事接触职业病危害的作业。</w:t>
            </w:r>
          </w:p>
          <w:p>
            <w:pPr>
              <w:spacing w:line="280" w:lineRule="exact"/>
              <w:rPr>
                <w:rFonts w:ascii="宋体" w:hAnsi="宋体"/>
                <w:szCs w:val="21"/>
              </w:rPr>
            </w:pPr>
          </w:p>
        </w:tc>
        <w:tc>
          <w:tcPr>
            <w:tcW w:w="2302" w:type="dxa"/>
            <w:vAlign w:val="center"/>
          </w:tcPr>
          <w:p>
            <w:pPr>
              <w:spacing w:line="280" w:lineRule="exact"/>
              <w:rPr>
                <w:rFonts w:ascii="宋体" w:hAnsi="宋体"/>
                <w:szCs w:val="21"/>
              </w:rPr>
            </w:pPr>
            <w:r>
              <w:rPr>
                <w:rFonts w:hint="eastAsia" w:ascii="宋体" w:hAnsi="宋体"/>
                <w:szCs w:val="21"/>
              </w:rPr>
              <w:t>1.用人单位安排未经上岗前职业健康检查的劳动者从事接触职业病危害的作业。</w:t>
            </w:r>
          </w:p>
          <w:p>
            <w:pPr>
              <w:spacing w:line="280" w:lineRule="exact"/>
              <w:rPr>
                <w:rFonts w:ascii="宋体" w:hAnsi="宋体"/>
                <w:szCs w:val="21"/>
              </w:rPr>
            </w:pPr>
            <w:r>
              <w:rPr>
                <w:rFonts w:hint="eastAsia" w:ascii="宋体" w:hAnsi="宋体"/>
                <w:szCs w:val="21"/>
              </w:rPr>
              <w:t>2. 用人单位未按照规定组织在岗期间和离岗时的职业健康检查</w:t>
            </w:r>
          </w:p>
        </w:tc>
        <w:tc>
          <w:tcPr>
            <w:tcW w:w="4337" w:type="dxa"/>
            <w:vAlign w:val="center"/>
          </w:tcPr>
          <w:p>
            <w:pPr>
              <w:adjustRightInd w:val="0"/>
              <w:spacing w:line="266" w:lineRule="exact"/>
              <w:ind w:firstLine="420" w:firstLineChars="200"/>
              <w:rPr>
                <w:rFonts w:ascii="宋体" w:hAnsi="宋体"/>
                <w:szCs w:val="21"/>
              </w:rPr>
            </w:pPr>
            <w:r>
              <w:rPr>
                <w:rFonts w:hint="eastAsia" w:ascii="宋体" w:hAnsi="宋体"/>
                <w:szCs w:val="21"/>
              </w:rPr>
              <w:t>《中华人民共和国职业病防治法》</w:t>
            </w:r>
          </w:p>
          <w:p>
            <w:pPr>
              <w:adjustRightInd w:val="0"/>
              <w:spacing w:line="266" w:lineRule="exact"/>
              <w:ind w:firstLine="420" w:firstLineChars="200"/>
              <w:rPr>
                <w:rFonts w:ascii="宋体" w:hAnsi="宋体"/>
                <w:szCs w:val="21"/>
              </w:rPr>
            </w:pPr>
            <w:r>
              <w:rPr>
                <w:rFonts w:hint="eastAsia" w:ascii="宋体" w:hAnsi="宋体"/>
                <w:szCs w:val="21"/>
              </w:rPr>
              <w:t>第三十五条第一款第二款 对从事接触职业病危害的作业的劳动者，用人单位应当按照国务院卫生行政部门的规定组织上岗前、在岗期间和离岗时的职业健康检查，并将检查结果书面告知劳动者。职业健康检查费用由用人单位承担。</w:t>
            </w:r>
          </w:p>
          <w:p>
            <w:pPr>
              <w:adjustRightInd w:val="0"/>
              <w:spacing w:line="266" w:lineRule="exact"/>
              <w:ind w:firstLine="420" w:firstLineChars="200"/>
              <w:rPr>
                <w:rFonts w:ascii="宋体" w:hAnsi="宋体"/>
                <w:szCs w:val="21"/>
              </w:rPr>
            </w:pPr>
            <w:r>
              <w:rPr>
                <w:rFonts w:hint="eastAsia" w:ascii="宋体" w:hAnsi="宋体"/>
                <w:szCs w:val="21"/>
              </w:rPr>
              <w:t>用人单位不得安排未经上岗前职业健康检查的劳动者从事接触职业病危害的作业；……</w:t>
            </w:r>
          </w:p>
          <w:p>
            <w:pPr>
              <w:adjustRightInd w:val="0"/>
              <w:spacing w:line="266" w:lineRule="exact"/>
              <w:ind w:firstLine="420" w:firstLineChars="200"/>
              <w:rPr>
                <w:rFonts w:ascii="宋体" w:hAnsi="宋体"/>
                <w:szCs w:val="21"/>
              </w:rPr>
            </w:pPr>
            <w:r>
              <w:rPr>
                <w:rFonts w:hint="eastAsia" w:ascii="宋体" w:hAnsi="宋体"/>
                <w:szCs w:val="21"/>
              </w:rPr>
              <w:t>第七十一条第（四）项  用人单位违反本法规定，有下列行为之一的，由卫生行政部门责令限期改正，给予警告，可以并处五万元以上十万元以下的罚款：</w:t>
            </w:r>
          </w:p>
          <w:p>
            <w:pPr>
              <w:adjustRightInd w:val="0"/>
              <w:spacing w:line="266" w:lineRule="exact"/>
              <w:ind w:firstLine="420" w:firstLineChars="200"/>
              <w:rPr>
                <w:rFonts w:ascii="宋体" w:hAnsi="宋体"/>
                <w:szCs w:val="21"/>
              </w:rPr>
            </w:pPr>
            <w:r>
              <w:rPr>
                <w:rFonts w:hint="eastAsia" w:ascii="宋体" w:hAnsi="宋体"/>
                <w:szCs w:val="21"/>
              </w:rPr>
              <w:t>（四）未按照规定组织职业健康检查、建立职业健康监护档案或者未将检查结果书面告知劳动者的</w:t>
            </w:r>
          </w:p>
          <w:p>
            <w:pPr>
              <w:adjustRightInd w:val="0"/>
              <w:spacing w:line="266" w:lineRule="exact"/>
              <w:ind w:firstLine="420" w:firstLineChars="200"/>
              <w:rPr>
                <w:rFonts w:ascii="宋体" w:hAnsi="宋体"/>
                <w:szCs w:val="21"/>
              </w:rPr>
            </w:pPr>
            <w:r>
              <w:rPr>
                <w:rFonts w:hint="eastAsia" w:ascii="宋体" w:hAnsi="宋体"/>
                <w:szCs w:val="21"/>
              </w:rPr>
              <w:t>第七十五条第（七）项  违反本法规定，有下列情形之一的，由卫生行政部门责令限期治理，并处五万元以上三十万元以下的罚款；情节严重的，责令停止产生职业病危害的作业，或者提请有关人民政府按照国务院规定的权限责令关闭：（七）安排未经职业健康检查的劳动者、有职业禁忌的劳动者、未成年工或者孕期、哺乳期女职工从事接触职业病危害的作业或者禁忌作业的。</w:t>
            </w:r>
          </w:p>
        </w:tc>
        <w:tc>
          <w:tcPr>
            <w:tcW w:w="765" w:type="dxa"/>
            <w:vAlign w:val="center"/>
          </w:tcPr>
          <w:p>
            <w:pPr>
              <w:widowControl/>
              <w:spacing w:line="280" w:lineRule="exact"/>
              <w:ind w:left="-105" w:leftChars="-50" w:right="-105" w:rightChars="-50"/>
              <w:jc w:val="center"/>
              <w:rPr>
                <w:rFonts w:ascii="宋体" w:hAnsi="宋体" w:cs="宋体"/>
                <w:szCs w:val="21"/>
              </w:rPr>
            </w:pPr>
            <w:r>
              <w:rPr>
                <w:rFonts w:hint="eastAsia" w:ascii="宋体" w:hAnsi="宋体" w:cs="宋体"/>
                <w:kern w:val="0"/>
                <w:szCs w:val="21"/>
              </w:rPr>
              <w:t>★★★</w:t>
            </w:r>
          </w:p>
        </w:tc>
        <w:tc>
          <w:tcPr>
            <w:tcW w:w="2959" w:type="dxa"/>
            <w:gridSpan w:val="2"/>
            <w:vAlign w:val="center"/>
          </w:tcPr>
          <w:p>
            <w:pPr>
              <w:adjustRightInd w:val="0"/>
              <w:spacing w:line="266" w:lineRule="exact"/>
              <w:ind w:firstLine="420" w:firstLineChars="200"/>
              <w:rPr>
                <w:rFonts w:ascii="宋体" w:hAnsi="宋体"/>
                <w:szCs w:val="21"/>
              </w:rPr>
            </w:pPr>
            <w:r>
              <w:rPr>
                <w:rFonts w:hint="eastAsia" w:ascii="宋体" w:hAnsi="宋体"/>
                <w:szCs w:val="21"/>
              </w:rPr>
              <w:t>对从事接触职业病危害的作业的劳动者，用人单位应当按照规定组织上岗前、在岗期间和离岗时的职业健康检查，并将检查结果书面告知劳动者。用人单位不得安排未经上岗前职业健康检查的劳动者从事接触职业病危害的作业。</w:t>
            </w:r>
          </w:p>
        </w:tc>
        <w:tc>
          <w:tcPr>
            <w:tcW w:w="1576" w:type="dxa"/>
            <w:vAlign w:val="center"/>
          </w:tcPr>
          <w:p>
            <w:pPr>
              <w:spacing w:line="280" w:lineRule="exact"/>
              <w:rPr>
                <w:rFonts w:ascii="宋体" w:hAnsi="宋体"/>
                <w:szCs w:val="21"/>
              </w:rPr>
            </w:pPr>
            <w:r>
              <w:rPr>
                <w:rFonts w:hint="eastAsia" w:ascii="宋体" w:hAnsi="宋体"/>
                <w:szCs w:val="21"/>
              </w:rPr>
              <w:t>卫生监督所职业卫生监督科：</w:t>
            </w:r>
            <w:r>
              <w:rPr>
                <w:rFonts w:ascii="宋体" w:hAnsi="宋体"/>
                <w:szCs w:val="21"/>
              </w:rPr>
              <w:t>82615791</w:t>
            </w:r>
            <w:r>
              <w:rPr>
                <w:rFonts w:hint="eastAsia" w:ascii="宋体" w:hAnsi="宋体"/>
                <w:szCs w:val="21"/>
              </w:rPr>
              <w:t>/</w:t>
            </w:r>
            <w:r>
              <w:rPr>
                <w:rFonts w:ascii="宋体" w:hAnsi="宋体"/>
                <w:szCs w:val="21"/>
              </w:rPr>
              <w:t>82413302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2" w:hRule="atLeast"/>
          <w:jc w:val="center"/>
        </w:trPr>
        <w:tc>
          <w:tcPr>
            <w:tcW w:w="879" w:type="dxa"/>
            <w:vAlign w:val="center"/>
          </w:tcPr>
          <w:p>
            <w:pPr>
              <w:spacing w:line="280" w:lineRule="exact"/>
              <w:jc w:val="center"/>
              <w:rPr>
                <w:szCs w:val="21"/>
              </w:rPr>
            </w:pPr>
            <w:r>
              <w:rPr>
                <w:szCs w:val="21"/>
              </w:rPr>
              <w:t>2</w:t>
            </w:r>
          </w:p>
        </w:tc>
        <w:tc>
          <w:tcPr>
            <w:tcW w:w="1774" w:type="dxa"/>
            <w:vAlign w:val="center"/>
          </w:tcPr>
          <w:p>
            <w:pPr>
              <w:spacing w:line="280" w:lineRule="exact"/>
              <w:rPr>
                <w:rFonts w:ascii="宋体" w:hAnsi="宋体"/>
                <w:szCs w:val="21"/>
              </w:rPr>
            </w:pPr>
            <w:r>
              <w:rPr>
                <w:rFonts w:hint="eastAsia" w:ascii="宋体" w:hAnsi="宋体"/>
                <w:szCs w:val="21"/>
              </w:rPr>
              <w:t>用人单位应当在上岗前和在岗期间组织劳动者进行职业卫生培训，指导、督促劳动者正确使用职业病防护设备和个人使用的职业病防护用品</w:t>
            </w:r>
          </w:p>
        </w:tc>
        <w:tc>
          <w:tcPr>
            <w:tcW w:w="2302" w:type="dxa"/>
            <w:vAlign w:val="center"/>
          </w:tcPr>
          <w:p>
            <w:pPr>
              <w:spacing w:line="280" w:lineRule="exact"/>
              <w:rPr>
                <w:rFonts w:ascii="宋体" w:hAnsi="宋体"/>
                <w:szCs w:val="21"/>
              </w:rPr>
            </w:pPr>
            <w:r>
              <w:rPr>
                <w:rFonts w:hint="eastAsia" w:ascii="宋体" w:hAnsi="宋体"/>
                <w:szCs w:val="21"/>
              </w:rPr>
              <w:t>1.用人单位未按照规定组织劳动者进行职业卫生培训；</w:t>
            </w:r>
          </w:p>
          <w:p>
            <w:pPr>
              <w:spacing w:line="280" w:lineRule="exact"/>
              <w:rPr>
                <w:rFonts w:ascii="宋体" w:hAnsi="宋体"/>
                <w:szCs w:val="21"/>
              </w:rPr>
            </w:pPr>
            <w:r>
              <w:rPr>
                <w:rFonts w:hint="eastAsia" w:ascii="宋体" w:hAnsi="宋体"/>
                <w:szCs w:val="21"/>
              </w:rPr>
              <w:t>2.用人单位未对劳动者个人职业病防护采取指导、督促措施。</w:t>
            </w:r>
          </w:p>
        </w:tc>
        <w:tc>
          <w:tcPr>
            <w:tcW w:w="4337" w:type="dxa"/>
            <w:vAlign w:val="center"/>
          </w:tcPr>
          <w:p>
            <w:pPr>
              <w:adjustRightInd w:val="0"/>
              <w:spacing w:line="266" w:lineRule="exact"/>
              <w:ind w:firstLine="420" w:firstLineChars="200"/>
              <w:rPr>
                <w:rFonts w:ascii="宋体" w:hAnsi="宋体"/>
                <w:szCs w:val="21"/>
              </w:rPr>
            </w:pPr>
            <w:r>
              <w:rPr>
                <w:rFonts w:hint="eastAsia" w:ascii="宋体" w:hAnsi="宋体"/>
                <w:szCs w:val="21"/>
              </w:rPr>
              <w:t>《中华人民共和国职业病防治法》</w:t>
            </w:r>
          </w:p>
          <w:p>
            <w:pPr>
              <w:adjustRightInd w:val="0"/>
              <w:spacing w:line="266" w:lineRule="exact"/>
              <w:ind w:firstLine="420" w:firstLineChars="200"/>
              <w:rPr>
                <w:rFonts w:ascii="宋体" w:hAnsi="宋体"/>
                <w:szCs w:val="21"/>
              </w:rPr>
            </w:pPr>
            <w:r>
              <w:rPr>
                <w:rFonts w:hint="eastAsia" w:ascii="宋体" w:hAnsi="宋体"/>
                <w:szCs w:val="21"/>
              </w:rPr>
              <w:t>第三十四条第二款  用人单位应当对劳动者进行上岗前的职业卫生培训和在岗期间的定期职业卫生培训，普及职业卫生知识，督促劳动者遵守职业病防治法律、法规、规章和操作规程，指导劳动者正确使用职业病防护设备和个人使用的职业病防护用品。</w:t>
            </w:r>
          </w:p>
          <w:p>
            <w:pPr>
              <w:adjustRightInd w:val="0"/>
              <w:spacing w:line="266" w:lineRule="exact"/>
              <w:ind w:firstLine="420" w:firstLineChars="200"/>
              <w:rPr>
                <w:rFonts w:ascii="宋体" w:hAnsi="宋体"/>
                <w:szCs w:val="21"/>
              </w:rPr>
            </w:pPr>
            <w:r>
              <w:rPr>
                <w:rFonts w:hint="eastAsia" w:ascii="宋体" w:hAnsi="宋体"/>
                <w:szCs w:val="21"/>
              </w:rPr>
              <w:t>第七十条第（四）项  违反本法规定，有下列行为之一的，由卫生行政部门给予警告，责令限期改正；逾期不改正的，处十万元以下的罚款：</w:t>
            </w:r>
          </w:p>
          <w:p>
            <w:pPr>
              <w:adjustRightInd w:val="0"/>
              <w:spacing w:line="266" w:lineRule="exact"/>
              <w:ind w:firstLine="420" w:firstLineChars="200"/>
              <w:rPr>
                <w:rFonts w:ascii="宋体" w:hAnsi="宋体"/>
                <w:szCs w:val="21"/>
              </w:rPr>
            </w:pPr>
            <w:r>
              <w:rPr>
                <w:rFonts w:hint="eastAsia" w:ascii="宋体" w:hAnsi="宋体"/>
                <w:szCs w:val="21"/>
              </w:rPr>
              <w:t>（四）未按照规定组织劳动者进行职业卫生培训，或者未对劳动者个人职业病防护采取指导、督促措施的。</w:t>
            </w:r>
          </w:p>
        </w:tc>
        <w:tc>
          <w:tcPr>
            <w:tcW w:w="765" w:type="dxa"/>
            <w:vAlign w:val="center"/>
          </w:tcPr>
          <w:p>
            <w:pPr>
              <w:widowControl/>
              <w:spacing w:line="280" w:lineRule="exact"/>
              <w:ind w:left="-105" w:leftChars="-50" w:right="-105" w:rightChars="-50"/>
              <w:jc w:val="center"/>
              <w:rPr>
                <w:rFonts w:ascii="宋体" w:hAnsi="宋体" w:cs="宋体"/>
                <w:kern w:val="0"/>
                <w:szCs w:val="21"/>
              </w:rPr>
            </w:pPr>
            <w:r>
              <w:rPr>
                <w:rFonts w:hint="eastAsia" w:ascii="宋体" w:hAnsi="宋体" w:cs="宋体"/>
                <w:kern w:val="0"/>
                <w:szCs w:val="21"/>
              </w:rPr>
              <w:t>★★★</w:t>
            </w:r>
          </w:p>
        </w:tc>
        <w:tc>
          <w:tcPr>
            <w:tcW w:w="2959" w:type="dxa"/>
            <w:gridSpan w:val="2"/>
            <w:vAlign w:val="center"/>
          </w:tcPr>
          <w:p>
            <w:pPr>
              <w:spacing w:line="280" w:lineRule="exact"/>
              <w:rPr>
                <w:rFonts w:ascii="宋体" w:hAnsi="宋体"/>
                <w:szCs w:val="21"/>
              </w:rPr>
            </w:pPr>
            <w:r>
              <w:rPr>
                <w:rFonts w:hint="eastAsia" w:ascii="宋体" w:hAnsi="宋体"/>
                <w:szCs w:val="21"/>
              </w:rPr>
              <w:t>用人单位应当在上岗前和在岗期间组织劳动者进行职业卫生培训，指导、督促劳动者正确使用职业病防护设备和个人使用的职业病防护用品。</w:t>
            </w:r>
          </w:p>
        </w:tc>
        <w:tc>
          <w:tcPr>
            <w:tcW w:w="1576" w:type="dxa"/>
            <w:vAlign w:val="center"/>
          </w:tcPr>
          <w:p>
            <w:pPr>
              <w:spacing w:line="280" w:lineRule="exact"/>
              <w:rPr>
                <w:rFonts w:ascii="宋体" w:hAnsi="宋体"/>
                <w:szCs w:val="21"/>
              </w:rPr>
            </w:pPr>
            <w:r>
              <w:rPr>
                <w:rFonts w:hint="eastAsia" w:ascii="宋体" w:hAnsi="宋体"/>
                <w:szCs w:val="21"/>
              </w:rPr>
              <w:t>卫生监督所职业卫生监督科：</w:t>
            </w:r>
            <w:r>
              <w:rPr>
                <w:rFonts w:ascii="宋体" w:hAnsi="宋体"/>
                <w:szCs w:val="21"/>
              </w:rPr>
              <w:t>82615791</w:t>
            </w:r>
            <w:r>
              <w:rPr>
                <w:rFonts w:hint="eastAsia" w:ascii="宋体" w:hAnsi="宋体"/>
                <w:szCs w:val="21"/>
              </w:rPr>
              <w:t>/</w:t>
            </w:r>
            <w:r>
              <w:rPr>
                <w:rFonts w:ascii="宋体" w:hAnsi="宋体"/>
                <w:szCs w:val="21"/>
              </w:rPr>
              <w:t>82413302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3" w:hRule="atLeast"/>
          <w:jc w:val="center"/>
        </w:trPr>
        <w:tc>
          <w:tcPr>
            <w:tcW w:w="879" w:type="dxa"/>
            <w:vAlign w:val="center"/>
          </w:tcPr>
          <w:p>
            <w:pPr>
              <w:spacing w:line="280" w:lineRule="exact"/>
              <w:jc w:val="center"/>
              <w:rPr>
                <w:szCs w:val="21"/>
              </w:rPr>
            </w:pPr>
            <w:r>
              <w:rPr>
                <w:szCs w:val="21"/>
              </w:rPr>
              <w:t>3</w:t>
            </w:r>
          </w:p>
        </w:tc>
        <w:tc>
          <w:tcPr>
            <w:tcW w:w="1774" w:type="dxa"/>
            <w:vAlign w:val="center"/>
          </w:tcPr>
          <w:p>
            <w:pPr>
              <w:spacing w:line="280" w:lineRule="exact"/>
              <w:rPr>
                <w:rFonts w:ascii="宋体" w:hAnsi="宋体"/>
                <w:szCs w:val="21"/>
              </w:rPr>
            </w:pPr>
            <w:r>
              <w:rPr>
                <w:rFonts w:hint="eastAsia" w:ascii="宋体" w:hAnsi="宋体"/>
                <w:szCs w:val="21"/>
              </w:rPr>
              <w:t>用人单位应当按照规定定期对工作场所职业病危害因素进行检测、评价</w:t>
            </w:r>
          </w:p>
        </w:tc>
        <w:tc>
          <w:tcPr>
            <w:tcW w:w="2302" w:type="dxa"/>
            <w:vAlign w:val="center"/>
          </w:tcPr>
          <w:p>
            <w:pPr>
              <w:spacing w:line="280" w:lineRule="exact"/>
              <w:rPr>
                <w:rFonts w:ascii="宋体" w:hAnsi="宋体"/>
                <w:szCs w:val="21"/>
              </w:rPr>
            </w:pPr>
            <w:r>
              <w:rPr>
                <w:rFonts w:hint="eastAsia" w:ascii="宋体" w:hAnsi="宋体"/>
                <w:szCs w:val="21"/>
              </w:rPr>
              <w:t>用人单位未按照规定对工作场所职业病危害因素进行检测、评价。</w:t>
            </w:r>
          </w:p>
        </w:tc>
        <w:tc>
          <w:tcPr>
            <w:tcW w:w="4337" w:type="dxa"/>
            <w:vAlign w:val="center"/>
          </w:tcPr>
          <w:p>
            <w:pPr>
              <w:adjustRightInd w:val="0"/>
              <w:spacing w:line="266" w:lineRule="exact"/>
              <w:ind w:firstLine="420" w:firstLineChars="200"/>
              <w:rPr>
                <w:rFonts w:ascii="宋体" w:hAnsi="宋体"/>
                <w:szCs w:val="21"/>
              </w:rPr>
            </w:pPr>
            <w:r>
              <w:rPr>
                <w:rFonts w:hint="eastAsia" w:ascii="宋体" w:hAnsi="宋体"/>
                <w:szCs w:val="21"/>
              </w:rPr>
              <w:t>《中华人民共和国职业病防治法》</w:t>
            </w:r>
          </w:p>
          <w:p>
            <w:pPr>
              <w:adjustRightInd w:val="0"/>
              <w:spacing w:line="266" w:lineRule="exact"/>
              <w:ind w:firstLine="420" w:firstLineChars="200"/>
              <w:rPr>
                <w:rFonts w:ascii="宋体" w:hAnsi="宋体"/>
                <w:szCs w:val="21"/>
              </w:rPr>
            </w:pPr>
            <w:r>
              <w:rPr>
                <w:rFonts w:hint="eastAsia" w:ascii="宋体" w:hAnsi="宋体"/>
                <w:szCs w:val="21"/>
              </w:rPr>
              <w:t>第二十六条第二款  用人单位应当按照国务院卫生行政部门的规定，定期对工作场所进行职业病危害因素检测、评价。……</w:t>
            </w:r>
          </w:p>
          <w:p>
            <w:pPr>
              <w:adjustRightInd w:val="0"/>
              <w:spacing w:line="266" w:lineRule="exact"/>
              <w:ind w:firstLine="420" w:firstLineChars="200"/>
              <w:rPr>
                <w:rFonts w:ascii="宋体" w:hAnsi="宋体"/>
                <w:szCs w:val="21"/>
              </w:rPr>
            </w:pPr>
            <w:r>
              <w:rPr>
                <w:rFonts w:hint="eastAsia" w:ascii="宋体" w:hAnsi="宋体"/>
                <w:szCs w:val="21"/>
              </w:rPr>
              <w:t>第七十二条第（四）项  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pPr>
              <w:adjustRightInd w:val="0"/>
              <w:spacing w:line="266" w:lineRule="exact"/>
              <w:ind w:firstLine="420" w:firstLineChars="200"/>
              <w:rPr>
                <w:rFonts w:ascii="宋体" w:hAnsi="宋体"/>
                <w:szCs w:val="21"/>
              </w:rPr>
            </w:pPr>
            <w:r>
              <w:rPr>
                <w:rFonts w:hint="eastAsia" w:ascii="宋体" w:hAnsi="宋体"/>
                <w:szCs w:val="21"/>
              </w:rPr>
              <w:t>（四）未按照规定对工作场所职业病危害因素进行检测、评价的。</w:t>
            </w:r>
          </w:p>
          <w:p>
            <w:pPr>
              <w:adjustRightInd w:val="0"/>
              <w:spacing w:line="266" w:lineRule="exact"/>
              <w:ind w:firstLine="420" w:firstLineChars="200"/>
              <w:rPr>
                <w:rFonts w:ascii="宋体" w:hAnsi="宋体"/>
                <w:szCs w:val="21"/>
              </w:rPr>
            </w:pPr>
            <w:r>
              <w:rPr>
                <w:rFonts w:hint="eastAsia" w:ascii="宋体" w:hAnsi="宋体"/>
                <w:szCs w:val="21"/>
              </w:rPr>
              <w:t>《工作场所职业卫生管理规定》</w:t>
            </w:r>
          </w:p>
          <w:p>
            <w:pPr>
              <w:adjustRightInd w:val="0"/>
              <w:spacing w:line="266" w:lineRule="exact"/>
              <w:ind w:firstLine="420" w:firstLineChars="200"/>
              <w:rPr>
                <w:rFonts w:ascii="宋体" w:hAnsi="宋体"/>
                <w:szCs w:val="21"/>
              </w:rPr>
            </w:pPr>
            <w:r>
              <w:rPr>
                <w:rFonts w:hint="eastAsia" w:ascii="宋体" w:hAnsi="宋体"/>
                <w:szCs w:val="21"/>
              </w:rPr>
              <w:t>第二十条第一款第二款  职业病危害严重的用人单位，应当委托具有相应资质的职业卫生技术服务机构，每年至少进行一次职业病危害因素检测，每三年至少进行一次职业病危害现状评价。</w:t>
            </w:r>
          </w:p>
          <w:p>
            <w:pPr>
              <w:adjustRightInd w:val="0"/>
              <w:spacing w:line="266" w:lineRule="exact"/>
              <w:ind w:firstLine="420" w:firstLineChars="200"/>
              <w:rPr>
                <w:rFonts w:ascii="宋体" w:hAnsi="宋体"/>
                <w:szCs w:val="21"/>
              </w:rPr>
            </w:pPr>
            <w:r>
              <w:rPr>
                <w:rFonts w:hint="eastAsia" w:ascii="宋体" w:hAnsi="宋体"/>
                <w:szCs w:val="21"/>
              </w:rPr>
              <w:t>职业病危害一般的用人单位，应当委托具有相应资质的职业卫生技术服务机构，每三年至少进行一次职业病危害因素检测。</w:t>
            </w:r>
          </w:p>
          <w:p>
            <w:pPr>
              <w:adjustRightInd w:val="0"/>
              <w:spacing w:line="266" w:lineRule="exact"/>
              <w:ind w:firstLine="420" w:firstLineChars="200"/>
              <w:rPr>
                <w:rFonts w:ascii="宋体" w:hAnsi="宋体"/>
                <w:szCs w:val="21"/>
              </w:rPr>
            </w:pPr>
            <w:r>
              <w:rPr>
                <w:rFonts w:hint="eastAsia" w:ascii="宋体" w:hAnsi="宋体"/>
                <w:szCs w:val="21"/>
              </w:rPr>
              <w:t>第五十条第（四）项  用人单位有下列情形之一的，责令限期改正，给予警告；逾期未改正的，处五万元以上二十万元以下的罚款；情节严重的，责令停止产生职业病危害的作业，或者提请有关人民政府按照国务院规定的权限责令关闭：</w:t>
            </w:r>
          </w:p>
          <w:p>
            <w:pPr>
              <w:adjustRightInd w:val="0"/>
              <w:spacing w:line="266" w:lineRule="exact"/>
              <w:ind w:firstLine="420" w:firstLineChars="200"/>
              <w:rPr>
                <w:rFonts w:ascii="宋体" w:hAnsi="宋体"/>
                <w:szCs w:val="21"/>
              </w:rPr>
            </w:pPr>
            <w:r>
              <w:rPr>
                <w:rFonts w:hint="eastAsia" w:ascii="宋体" w:hAnsi="宋体"/>
                <w:szCs w:val="21"/>
              </w:rPr>
              <w:t>（四）未按照规定对工作场所职业病危害因素进行检测、现状评价的。</w:t>
            </w:r>
          </w:p>
        </w:tc>
        <w:tc>
          <w:tcPr>
            <w:tcW w:w="765" w:type="dxa"/>
            <w:vAlign w:val="center"/>
          </w:tcPr>
          <w:p>
            <w:pPr>
              <w:widowControl/>
              <w:spacing w:line="280" w:lineRule="exact"/>
              <w:ind w:left="-105" w:leftChars="-50" w:right="-105" w:rightChars="-50"/>
              <w:jc w:val="center"/>
              <w:rPr>
                <w:rFonts w:ascii="宋体" w:hAnsi="宋体" w:cs="宋体"/>
                <w:szCs w:val="21"/>
              </w:rPr>
            </w:pPr>
            <w:r>
              <w:rPr>
                <w:rFonts w:hint="eastAsia" w:ascii="宋体" w:hAnsi="宋体" w:cs="宋体"/>
                <w:kern w:val="0"/>
                <w:szCs w:val="21"/>
              </w:rPr>
              <w:t>★★★</w:t>
            </w:r>
          </w:p>
        </w:tc>
        <w:tc>
          <w:tcPr>
            <w:tcW w:w="2959" w:type="dxa"/>
            <w:gridSpan w:val="2"/>
            <w:vAlign w:val="center"/>
          </w:tcPr>
          <w:p>
            <w:pPr>
              <w:spacing w:line="280" w:lineRule="exact"/>
              <w:rPr>
                <w:rFonts w:ascii="宋体" w:hAnsi="宋体"/>
                <w:szCs w:val="21"/>
              </w:rPr>
            </w:pPr>
            <w:r>
              <w:rPr>
                <w:rFonts w:hint="eastAsia" w:ascii="宋体" w:hAnsi="宋体"/>
                <w:szCs w:val="21"/>
              </w:rPr>
              <w:t>用人单位应当按照规定定期对工作场所职业病危害因素进行检测、评价。</w:t>
            </w:r>
          </w:p>
        </w:tc>
        <w:tc>
          <w:tcPr>
            <w:tcW w:w="1576" w:type="dxa"/>
            <w:vAlign w:val="center"/>
          </w:tcPr>
          <w:p>
            <w:pPr>
              <w:spacing w:line="280" w:lineRule="exact"/>
              <w:rPr>
                <w:rFonts w:ascii="宋体" w:hAnsi="宋体"/>
                <w:szCs w:val="21"/>
              </w:rPr>
            </w:pPr>
            <w:r>
              <w:rPr>
                <w:rFonts w:hint="eastAsia" w:ascii="宋体" w:hAnsi="宋体"/>
                <w:szCs w:val="21"/>
              </w:rPr>
              <w:t>卫生监督所职业卫生监督科：</w:t>
            </w:r>
            <w:r>
              <w:rPr>
                <w:rFonts w:ascii="宋体" w:hAnsi="宋体"/>
                <w:szCs w:val="21"/>
              </w:rPr>
              <w:t>82615791</w:t>
            </w:r>
            <w:r>
              <w:rPr>
                <w:rFonts w:hint="eastAsia" w:ascii="宋体" w:hAnsi="宋体"/>
                <w:szCs w:val="21"/>
              </w:rPr>
              <w:t>/</w:t>
            </w:r>
            <w:r>
              <w:rPr>
                <w:rFonts w:ascii="宋体" w:hAnsi="宋体"/>
                <w:szCs w:val="21"/>
              </w:rPr>
              <w:t>82413302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02" w:hRule="atLeast"/>
          <w:jc w:val="center"/>
        </w:trPr>
        <w:tc>
          <w:tcPr>
            <w:tcW w:w="879" w:type="dxa"/>
            <w:vAlign w:val="center"/>
          </w:tcPr>
          <w:p>
            <w:pPr>
              <w:spacing w:line="280" w:lineRule="exact"/>
              <w:jc w:val="center"/>
              <w:rPr>
                <w:szCs w:val="21"/>
              </w:rPr>
            </w:pPr>
            <w:r>
              <w:rPr>
                <w:szCs w:val="21"/>
              </w:rPr>
              <w:t>4</w:t>
            </w:r>
          </w:p>
        </w:tc>
        <w:tc>
          <w:tcPr>
            <w:tcW w:w="1774" w:type="dxa"/>
            <w:vAlign w:val="center"/>
          </w:tcPr>
          <w:p>
            <w:pPr>
              <w:spacing w:line="280" w:lineRule="exact"/>
              <w:rPr>
                <w:rFonts w:ascii="宋体" w:hAnsi="宋体"/>
                <w:szCs w:val="21"/>
              </w:rPr>
            </w:pPr>
            <w:r>
              <w:rPr>
                <w:rFonts w:hint="eastAsia" w:ascii="宋体" w:hAnsi="宋体"/>
                <w:szCs w:val="21"/>
              </w:rPr>
              <w:t>餐具、饮具集中消毒服务单位应当对消毒餐具、饮具进行逐批检验，检验合格后</w:t>
            </w:r>
          </w:p>
          <w:p>
            <w:pPr>
              <w:spacing w:line="280" w:lineRule="exact"/>
              <w:rPr>
                <w:rFonts w:ascii="宋体" w:hAnsi="宋体"/>
                <w:szCs w:val="21"/>
              </w:rPr>
            </w:pPr>
            <w:r>
              <w:rPr>
                <w:rFonts w:hint="eastAsia" w:ascii="宋体" w:hAnsi="宋体"/>
                <w:szCs w:val="21"/>
              </w:rPr>
              <w:t>方可出厂，并应当随附消毒合格证明。消毒后的餐具、饮具应当在独立包装上标</w:t>
            </w:r>
          </w:p>
          <w:p>
            <w:pPr>
              <w:spacing w:line="280" w:lineRule="exact"/>
              <w:rPr>
                <w:rFonts w:ascii="宋体" w:hAnsi="宋体"/>
                <w:szCs w:val="21"/>
              </w:rPr>
            </w:pPr>
            <w:r>
              <w:rPr>
                <w:rFonts w:hint="eastAsia" w:ascii="宋体" w:hAnsi="宋体"/>
                <w:szCs w:val="21"/>
              </w:rPr>
              <w:t>注单位名称、地址、联系方式、消毒日期以及使用期限等内容。</w:t>
            </w:r>
          </w:p>
        </w:tc>
        <w:tc>
          <w:tcPr>
            <w:tcW w:w="2302" w:type="dxa"/>
            <w:vAlign w:val="center"/>
          </w:tcPr>
          <w:p>
            <w:pPr>
              <w:spacing w:line="280" w:lineRule="exact"/>
              <w:rPr>
                <w:rFonts w:ascii="宋体" w:hAnsi="宋体"/>
                <w:szCs w:val="21"/>
              </w:rPr>
            </w:pPr>
            <w:r>
              <w:rPr>
                <w:rFonts w:hint="eastAsia" w:ascii="宋体" w:hAnsi="宋体"/>
                <w:szCs w:val="21"/>
              </w:rPr>
              <w:t>未按规定检验合格出厂的消毒餐具、饮具，消毒后的餐具、饮具未标注消毒日期等内容</w:t>
            </w:r>
          </w:p>
        </w:tc>
        <w:tc>
          <w:tcPr>
            <w:tcW w:w="4337" w:type="dxa"/>
            <w:vAlign w:val="center"/>
          </w:tcPr>
          <w:p>
            <w:pPr>
              <w:adjustRightInd w:val="0"/>
              <w:spacing w:line="266" w:lineRule="exact"/>
              <w:ind w:firstLine="420" w:firstLineChars="200"/>
              <w:rPr>
                <w:rFonts w:ascii="宋体" w:hAnsi="宋体"/>
                <w:szCs w:val="21"/>
              </w:rPr>
            </w:pPr>
            <w:r>
              <w:rPr>
                <w:rFonts w:hint="eastAsia" w:ascii="宋体" w:hAnsi="宋体"/>
                <w:szCs w:val="21"/>
              </w:rPr>
              <w:t>《中华人民共和国食品安全法》第五十八条第二款 餐具、饮具集中消毒服务单位应当对消毒餐具、饮具进行逐批检验，检验合格后方可出厂，并应当随附消毒合格证明。消毒后的餐具、饮具应当在独立包装上标注单位名称、地址、联系方式、消毒日期以及使用期限等内容。</w:t>
            </w:r>
          </w:p>
          <w:p>
            <w:pPr>
              <w:adjustRightInd w:val="0"/>
              <w:spacing w:line="266" w:lineRule="exact"/>
              <w:ind w:firstLine="420" w:firstLineChars="200"/>
              <w:rPr>
                <w:rFonts w:ascii="宋体" w:hAnsi="宋体"/>
                <w:szCs w:val="21"/>
              </w:rPr>
            </w:pPr>
            <w:r>
              <w:rPr>
                <w:rFonts w:ascii="宋体" w:hAnsi="宋体"/>
                <w:szCs w:val="21"/>
              </w:rPr>
              <w:t>第一百二十六条</w:t>
            </w:r>
            <w:r>
              <w:rPr>
                <w:rFonts w:hint="eastAsia" w:ascii="宋体" w:hAnsi="宋体"/>
                <w:szCs w:val="21"/>
              </w:rPr>
              <w:t xml:space="preserve">第一款第二款 </w:t>
            </w:r>
            <w:r>
              <w:rPr>
                <w:rFonts w:ascii="宋体" w:hAnsi="宋体"/>
                <w:szCs w:val="21"/>
              </w:rPr>
              <w:t>违反本法规定，有下列情形之一的，由县级以上人民政府食品监督管理部门责令改正，给予警告；拒不改正的，处五千元以上五万元以下罚款；情节严重的，责令停产停业，直至吊销许可证</w:t>
            </w:r>
            <w:r>
              <w:rPr>
                <w:rFonts w:hint="eastAsia" w:ascii="宋体" w:hAnsi="宋体"/>
                <w:szCs w:val="21"/>
              </w:rPr>
              <w:t>：……</w:t>
            </w:r>
          </w:p>
          <w:p>
            <w:pPr>
              <w:adjustRightInd w:val="0"/>
              <w:spacing w:line="266" w:lineRule="exact"/>
              <w:ind w:firstLine="420" w:firstLineChars="200"/>
              <w:rPr>
                <w:rFonts w:ascii="宋体" w:hAnsi="宋体"/>
                <w:szCs w:val="21"/>
              </w:rPr>
            </w:pPr>
            <w:r>
              <w:rPr>
                <w:rFonts w:hint="eastAsia" w:ascii="宋体" w:hAnsi="宋体"/>
                <w:szCs w:val="21"/>
              </w:rPr>
              <w:t>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p>
        </w:tc>
        <w:tc>
          <w:tcPr>
            <w:tcW w:w="765" w:type="dxa"/>
            <w:vAlign w:val="center"/>
          </w:tcPr>
          <w:p>
            <w:pPr>
              <w:widowControl/>
              <w:spacing w:line="280" w:lineRule="exact"/>
              <w:ind w:left="-105" w:leftChars="-50" w:right="-105" w:rightChars="-50"/>
              <w:jc w:val="center"/>
              <w:rPr>
                <w:rFonts w:ascii="宋体" w:hAnsi="宋体" w:cs="宋体"/>
                <w:szCs w:val="21"/>
              </w:rPr>
            </w:pPr>
            <w:r>
              <w:rPr>
                <w:rFonts w:ascii="宋体" w:hAnsi="宋体"/>
                <w:szCs w:val="21"/>
              </w:rPr>
              <w:t>★★</w:t>
            </w:r>
          </w:p>
        </w:tc>
        <w:tc>
          <w:tcPr>
            <w:tcW w:w="2959" w:type="dxa"/>
            <w:gridSpan w:val="2"/>
            <w:vAlign w:val="center"/>
          </w:tcPr>
          <w:p>
            <w:pPr>
              <w:spacing w:line="280" w:lineRule="exact"/>
              <w:rPr>
                <w:rFonts w:ascii="宋体" w:hAnsi="宋体"/>
                <w:szCs w:val="21"/>
              </w:rPr>
            </w:pPr>
            <w:r>
              <w:rPr>
                <w:rFonts w:hint="eastAsia" w:ascii="宋体" w:hAnsi="宋体"/>
                <w:szCs w:val="21"/>
              </w:rPr>
              <w:t>餐具、饮具集中消毒服务单位应当对消毒餐具、饮具进行逐批检验，检验合格后方可出厂，并应当随附消毒合格证明。消毒后的餐具、饮具应当在独立包装上标注单位名称、地址、联系方式、消毒日期以及使用期限等内容。</w:t>
            </w:r>
          </w:p>
          <w:p>
            <w:pPr>
              <w:spacing w:line="280" w:lineRule="exact"/>
              <w:rPr>
                <w:rFonts w:ascii="宋体" w:hAnsi="宋体"/>
                <w:szCs w:val="21"/>
              </w:rPr>
            </w:pPr>
          </w:p>
        </w:tc>
        <w:tc>
          <w:tcPr>
            <w:tcW w:w="1576" w:type="dxa"/>
            <w:vAlign w:val="center"/>
          </w:tcPr>
          <w:p>
            <w:pPr>
              <w:spacing w:line="280" w:lineRule="exact"/>
              <w:rPr>
                <w:rFonts w:ascii="宋体" w:hAnsi="宋体"/>
                <w:szCs w:val="21"/>
              </w:rPr>
            </w:pPr>
            <w:r>
              <w:rPr>
                <w:rFonts w:hint="eastAsia" w:ascii="宋体" w:hAnsi="宋体"/>
                <w:szCs w:val="21"/>
              </w:rPr>
              <w:t>卫生监督所综合卫生监督科：8</w:t>
            </w:r>
            <w:r>
              <w:rPr>
                <w:rFonts w:ascii="宋体" w:hAnsi="宋体"/>
                <w:szCs w:val="21"/>
              </w:rPr>
              <w:t>2415103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38" w:hRule="atLeast"/>
          <w:jc w:val="center"/>
        </w:trPr>
        <w:tc>
          <w:tcPr>
            <w:tcW w:w="879" w:type="dxa"/>
            <w:vAlign w:val="center"/>
          </w:tcPr>
          <w:p>
            <w:pPr>
              <w:spacing w:line="280" w:lineRule="exact"/>
              <w:jc w:val="center"/>
              <w:rPr>
                <w:szCs w:val="21"/>
              </w:rPr>
            </w:pPr>
            <w:r>
              <w:rPr>
                <w:szCs w:val="21"/>
              </w:rPr>
              <w:t>5</w:t>
            </w:r>
          </w:p>
        </w:tc>
        <w:tc>
          <w:tcPr>
            <w:tcW w:w="1774" w:type="dxa"/>
            <w:vAlign w:val="center"/>
          </w:tcPr>
          <w:p>
            <w:pPr>
              <w:spacing w:line="280" w:lineRule="exact"/>
              <w:rPr>
                <w:rFonts w:ascii="宋体" w:hAnsi="宋体"/>
                <w:szCs w:val="21"/>
              </w:rPr>
            </w:pPr>
            <w:r>
              <w:rPr>
                <w:rFonts w:hint="eastAsia" w:ascii="宋体" w:hAnsi="宋体"/>
                <w:szCs w:val="21"/>
              </w:rPr>
              <w:t>公共场所经营者取得工商行政管理部门颁发的营业执照后，还应当按照规定向县级以上地方人民政府卫生计生行政部门申请卫生许可证，方可营业。</w:t>
            </w:r>
          </w:p>
        </w:tc>
        <w:tc>
          <w:tcPr>
            <w:tcW w:w="2302" w:type="dxa"/>
            <w:vAlign w:val="center"/>
          </w:tcPr>
          <w:p>
            <w:pPr>
              <w:spacing w:line="280" w:lineRule="exact"/>
              <w:rPr>
                <w:rFonts w:ascii="宋体" w:hAnsi="宋体"/>
                <w:szCs w:val="21"/>
              </w:rPr>
            </w:pPr>
            <w:r>
              <w:rPr>
                <w:rFonts w:hint="eastAsia" w:ascii="宋体" w:hAnsi="宋体"/>
                <w:szCs w:val="21"/>
              </w:rPr>
              <w:t>公共场所未依法取得公共场所卫生许可证从事公共场所经营活动。</w:t>
            </w:r>
          </w:p>
        </w:tc>
        <w:tc>
          <w:tcPr>
            <w:tcW w:w="4337" w:type="dxa"/>
            <w:vAlign w:val="center"/>
          </w:tcPr>
          <w:p>
            <w:pPr>
              <w:adjustRightInd w:val="0"/>
              <w:spacing w:line="280" w:lineRule="exact"/>
              <w:ind w:firstLine="420" w:firstLineChars="200"/>
              <w:rPr>
                <w:rFonts w:ascii="宋体" w:hAnsi="宋体"/>
                <w:szCs w:val="21"/>
              </w:rPr>
            </w:pPr>
            <w:r>
              <w:rPr>
                <w:rFonts w:hint="eastAsia" w:ascii="宋体" w:hAnsi="宋体"/>
                <w:szCs w:val="21"/>
              </w:rPr>
              <w:t>《公共场所卫生管理条例实施细则》  </w:t>
            </w:r>
          </w:p>
          <w:p>
            <w:pPr>
              <w:adjustRightInd w:val="0"/>
              <w:spacing w:line="280" w:lineRule="exact"/>
              <w:ind w:firstLine="420" w:firstLineChars="200"/>
              <w:rPr>
                <w:rFonts w:ascii="宋体" w:hAnsi="宋体"/>
                <w:szCs w:val="21"/>
              </w:rPr>
            </w:pPr>
            <w:r>
              <w:rPr>
                <w:rFonts w:hint="eastAsia" w:ascii="宋体" w:hAnsi="宋体"/>
                <w:szCs w:val="21"/>
              </w:rPr>
              <w:t>第二十二条第二款 公共场所经营者取得工商行政管理部门颁发的营业执照后，还应当按照规定向县级以上地方人民政府卫生计生行政部门申请卫生许可证，方可营业。</w:t>
            </w:r>
          </w:p>
          <w:p>
            <w:pPr>
              <w:adjustRightInd w:val="0"/>
              <w:spacing w:line="266" w:lineRule="exact"/>
              <w:ind w:firstLine="420" w:firstLineChars="200"/>
              <w:rPr>
                <w:rFonts w:ascii="宋体" w:hAnsi="宋体"/>
                <w:szCs w:val="21"/>
              </w:rPr>
            </w:pPr>
            <w:r>
              <w:rPr>
                <w:rFonts w:hint="eastAsia" w:ascii="宋体" w:hAnsi="宋体"/>
                <w:szCs w:val="21"/>
              </w:rPr>
              <w:t>第三十五条第一款 对未依法取得公共场所卫生许可证擅自营业的，由县级以上地方人民政府卫生计生行政部门责令限期改正，给予警告，并处以五百元以上五千元以下罚款；有下列情形之一的，处以五千元以上三万元以下罚款：（一）擅自营业曾受过卫生计生行政部门处罚的；（二）擅自营业时间在三个月以上的；（三）以涂改、转让、倒卖、伪造的卫生许可证擅自营业的。</w:t>
            </w:r>
          </w:p>
        </w:tc>
        <w:tc>
          <w:tcPr>
            <w:tcW w:w="765" w:type="dxa"/>
            <w:vAlign w:val="center"/>
          </w:tcPr>
          <w:p>
            <w:pPr>
              <w:widowControl/>
              <w:spacing w:line="280" w:lineRule="exact"/>
              <w:ind w:left="-105" w:leftChars="-50" w:right="-105" w:rightChars="-50"/>
              <w:jc w:val="center"/>
              <w:rPr>
                <w:rFonts w:ascii="宋体" w:hAnsi="宋体" w:cs="宋体"/>
                <w:szCs w:val="21"/>
              </w:rPr>
            </w:pPr>
            <w:r>
              <w:rPr>
                <w:rFonts w:hint="eastAsia" w:ascii="宋体" w:hAnsi="宋体" w:cs="宋体"/>
                <w:kern w:val="0"/>
                <w:szCs w:val="21"/>
              </w:rPr>
              <w:t>★★★</w:t>
            </w:r>
          </w:p>
        </w:tc>
        <w:tc>
          <w:tcPr>
            <w:tcW w:w="2959" w:type="dxa"/>
            <w:gridSpan w:val="2"/>
            <w:vAlign w:val="center"/>
          </w:tcPr>
          <w:p>
            <w:pPr>
              <w:spacing w:line="280" w:lineRule="exact"/>
              <w:rPr>
                <w:rFonts w:ascii="宋体" w:hAnsi="宋体"/>
                <w:szCs w:val="21"/>
              </w:rPr>
            </w:pPr>
            <w:r>
              <w:rPr>
                <w:rFonts w:hint="eastAsia" w:ascii="宋体" w:hAnsi="宋体"/>
                <w:szCs w:val="21"/>
              </w:rPr>
              <w:t>宾馆、旅店、招待所、公共浴室、理发店、美容店、影剧院、舞厅、游艺厅（室）、游泳场（馆）、商场（店）、候诊室、候车（机、船）室等公共场所应当取得公共场所卫生许可证方可营业。</w:t>
            </w:r>
          </w:p>
        </w:tc>
        <w:tc>
          <w:tcPr>
            <w:tcW w:w="1576" w:type="dxa"/>
            <w:vAlign w:val="center"/>
          </w:tcPr>
          <w:p>
            <w:pPr>
              <w:overflowPunct w:val="0"/>
              <w:adjustRightInd w:val="0"/>
              <w:spacing w:line="280" w:lineRule="exact"/>
              <w:rPr>
                <w:rFonts w:ascii="宋体" w:hAnsi="宋体"/>
                <w:szCs w:val="21"/>
              </w:rPr>
            </w:pPr>
            <w:r>
              <w:rPr>
                <w:rFonts w:hint="eastAsia" w:ascii="宋体" w:hAnsi="宋体"/>
                <w:szCs w:val="21"/>
              </w:rPr>
              <w:t>卫生监督所公共场所与爱国卫生监督科：85735692</w:t>
            </w:r>
          </w:p>
          <w:p>
            <w:pPr>
              <w:spacing w:line="280" w:lineRule="exact"/>
              <w:rPr>
                <w:rFonts w:ascii="宋体" w:hAnsi="宋体"/>
                <w:szCs w:val="21"/>
              </w:rPr>
            </w:pPr>
            <w:r>
              <w:rPr>
                <w:rFonts w:hint="eastAsia" w:ascii="宋体" w:hAnsi="宋体"/>
                <w:szCs w:val="21"/>
              </w:rPr>
              <w:t>/82418114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38" w:hRule="atLeast"/>
          <w:jc w:val="center"/>
        </w:trPr>
        <w:tc>
          <w:tcPr>
            <w:tcW w:w="879" w:type="dxa"/>
            <w:vAlign w:val="center"/>
          </w:tcPr>
          <w:p>
            <w:pPr>
              <w:spacing w:line="280" w:lineRule="exact"/>
              <w:jc w:val="center"/>
              <w:rPr>
                <w:szCs w:val="21"/>
              </w:rPr>
            </w:pPr>
            <w:r>
              <w:rPr>
                <w:rFonts w:hint="eastAsia"/>
                <w:szCs w:val="21"/>
              </w:rPr>
              <w:t>6</w:t>
            </w:r>
          </w:p>
        </w:tc>
        <w:tc>
          <w:tcPr>
            <w:tcW w:w="1774" w:type="dxa"/>
            <w:vAlign w:val="center"/>
          </w:tcPr>
          <w:p>
            <w:pPr>
              <w:adjustRightInd w:val="0"/>
              <w:spacing w:line="280" w:lineRule="exact"/>
              <w:rPr>
                <w:rFonts w:ascii="宋体" w:hAnsi="宋体"/>
                <w:szCs w:val="21"/>
              </w:rPr>
            </w:pPr>
            <w:r>
              <w:rPr>
                <w:rFonts w:hint="eastAsia" w:ascii="宋体" w:hAnsi="宋体"/>
                <w:szCs w:val="21"/>
              </w:rPr>
              <w:t>公共场所经营者应当组织从业人员每年进行健康检查，从业人员在取得有效健康合格证明后方可上岗。</w:t>
            </w:r>
          </w:p>
          <w:p>
            <w:pPr>
              <w:spacing w:line="280" w:lineRule="exact"/>
              <w:rPr>
                <w:rFonts w:ascii="宋体" w:hAnsi="宋体"/>
                <w:szCs w:val="21"/>
              </w:rPr>
            </w:pPr>
          </w:p>
        </w:tc>
        <w:tc>
          <w:tcPr>
            <w:tcW w:w="2302" w:type="dxa"/>
            <w:vAlign w:val="center"/>
          </w:tcPr>
          <w:p>
            <w:pPr>
              <w:spacing w:line="280" w:lineRule="exact"/>
              <w:rPr>
                <w:rFonts w:ascii="宋体" w:hAnsi="宋体"/>
                <w:szCs w:val="21"/>
              </w:rPr>
            </w:pPr>
            <w:r>
              <w:rPr>
                <w:rFonts w:hint="eastAsia" w:ascii="宋体" w:hAnsi="宋体"/>
                <w:szCs w:val="21"/>
              </w:rPr>
              <w:t>公共场所经营者安排未获得有效健康合格证明的从业人员从事直接为顾客服务工作。</w:t>
            </w:r>
          </w:p>
        </w:tc>
        <w:tc>
          <w:tcPr>
            <w:tcW w:w="4337" w:type="dxa"/>
            <w:vAlign w:val="center"/>
          </w:tcPr>
          <w:p>
            <w:pPr>
              <w:adjustRightInd w:val="0"/>
              <w:spacing w:line="280" w:lineRule="exact"/>
              <w:ind w:firstLine="420" w:firstLineChars="200"/>
              <w:rPr>
                <w:rFonts w:ascii="宋体" w:hAnsi="宋体"/>
                <w:szCs w:val="21"/>
              </w:rPr>
            </w:pPr>
            <w:r>
              <w:rPr>
                <w:rFonts w:hint="eastAsia" w:ascii="宋体" w:hAnsi="宋体"/>
                <w:szCs w:val="21"/>
              </w:rPr>
              <w:t>《公共场所卫生管理条例实施细则》</w:t>
            </w:r>
          </w:p>
          <w:p>
            <w:pPr>
              <w:adjustRightInd w:val="0"/>
              <w:spacing w:line="280" w:lineRule="exact"/>
              <w:ind w:firstLine="420" w:firstLineChars="200"/>
              <w:rPr>
                <w:rFonts w:ascii="宋体" w:hAnsi="宋体"/>
                <w:szCs w:val="21"/>
              </w:rPr>
            </w:pPr>
            <w:r>
              <w:rPr>
                <w:rFonts w:hint="eastAsia" w:ascii="宋体" w:hAnsi="宋体"/>
                <w:szCs w:val="21"/>
              </w:rPr>
              <w:t>第十条第一款 公共场所经营者应当组织从业人员每年进行健康检查，从业人员在取得有效健康合格证明后方可上岗。</w:t>
            </w:r>
          </w:p>
          <w:p>
            <w:pPr>
              <w:adjustRightInd w:val="0"/>
              <w:spacing w:line="266" w:lineRule="exact"/>
              <w:ind w:firstLine="420" w:firstLineChars="200"/>
              <w:rPr>
                <w:rFonts w:ascii="宋体" w:hAnsi="宋体"/>
                <w:szCs w:val="21"/>
              </w:rPr>
            </w:pPr>
            <w:r>
              <w:rPr>
                <w:rFonts w:hint="eastAsia" w:ascii="宋体" w:hAnsi="宋体"/>
                <w:szCs w:val="21"/>
              </w:rPr>
              <w:t>第三十八条 公共场所经营者安排未获得有效健康合格证明的从业人员从事直接为顾客服务工作的，由县级以上地方人民政府卫生计生行政部门责令限期改正，给予警告，并处以五百元以上五千元以下罚款；逾期不改正的，处以五千元以上一万五千元以下罚款。</w:t>
            </w:r>
          </w:p>
        </w:tc>
        <w:tc>
          <w:tcPr>
            <w:tcW w:w="765" w:type="dxa"/>
            <w:vAlign w:val="center"/>
          </w:tcPr>
          <w:p>
            <w:pPr>
              <w:widowControl/>
              <w:spacing w:line="280" w:lineRule="exact"/>
              <w:ind w:left="-105" w:leftChars="-50" w:right="-105" w:rightChars="-50"/>
              <w:jc w:val="center"/>
              <w:rPr>
                <w:rFonts w:ascii="宋体" w:hAnsi="宋体" w:cs="宋体"/>
                <w:szCs w:val="21"/>
              </w:rPr>
            </w:pPr>
            <w:r>
              <w:rPr>
                <w:rFonts w:hint="eastAsia" w:ascii="宋体" w:hAnsi="宋体" w:cs="宋体"/>
                <w:kern w:val="0"/>
                <w:szCs w:val="21"/>
              </w:rPr>
              <w:t>★★★</w:t>
            </w:r>
          </w:p>
        </w:tc>
        <w:tc>
          <w:tcPr>
            <w:tcW w:w="2959" w:type="dxa"/>
            <w:gridSpan w:val="2"/>
            <w:vAlign w:val="center"/>
          </w:tcPr>
          <w:p>
            <w:pPr>
              <w:spacing w:line="280" w:lineRule="exact"/>
              <w:rPr>
                <w:rFonts w:ascii="宋体" w:hAnsi="宋体"/>
                <w:szCs w:val="21"/>
              </w:rPr>
            </w:pPr>
            <w:r>
              <w:rPr>
                <w:rFonts w:hint="eastAsia" w:ascii="宋体" w:hAnsi="宋体"/>
                <w:szCs w:val="21"/>
              </w:rPr>
              <w:t>公共场所经营者应当组织从业人员每年进行健康检查，从业人员在取得有效健康合格证明后方可上岗。</w:t>
            </w:r>
          </w:p>
        </w:tc>
        <w:tc>
          <w:tcPr>
            <w:tcW w:w="1576" w:type="dxa"/>
            <w:vAlign w:val="center"/>
          </w:tcPr>
          <w:p>
            <w:pPr>
              <w:overflowPunct w:val="0"/>
              <w:adjustRightInd w:val="0"/>
              <w:spacing w:line="280" w:lineRule="exact"/>
              <w:rPr>
                <w:rFonts w:ascii="宋体" w:hAnsi="宋体"/>
                <w:szCs w:val="21"/>
              </w:rPr>
            </w:pPr>
            <w:r>
              <w:rPr>
                <w:rFonts w:hint="eastAsia" w:ascii="宋体" w:hAnsi="宋体"/>
                <w:szCs w:val="21"/>
              </w:rPr>
              <w:t>卫生监督所公共场所与爱国卫生监督科：85735692</w:t>
            </w:r>
          </w:p>
          <w:p>
            <w:pPr>
              <w:spacing w:line="280" w:lineRule="exact"/>
              <w:rPr>
                <w:rFonts w:ascii="宋体" w:hAnsi="宋体"/>
                <w:szCs w:val="21"/>
              </w:rPr>
            </w:pPr>
            <w:r>
              <w:rPr>
                <w:rFonts w:hint="eastAsia" w:ascii="宋体" w:hAnsi="宋体"/>
                <w:szCs w:val="21"/>
              </w:rPr>
              <w:t>/82418114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38" w:hRule="atLeast"/>
          <w:jc w:val="center"/>
        </w:trPr>
        <w:tc>
          <w:tcPr>
            <w:tcW w:w="879" w:type="dxa"/>
            <w:vAlign w:val="center"/>
          </w:tcPr>
          <w:p>
            <w:pPr>
              <w:spacing w:line="280" w:lineRule="exact"/>
              <w:jc w:val="center"/>
              <w:rPr>
                <w:szCs w:val="21"/>
              </w:rPr>
            </w:pPr>
            <w:r>
              <w:rPr>
                <w:rFonts w:hint="eastAsia"/>
                <w:szCs w:val="21"/>
              </w:rPr>
              <w:t>7</w:t>
            </w:r>
          </w:p>
        </w:tc>
        <w:tc>
          <w:tcPr>
            <w:tcW w:w="1774" w:type="dxa"/>
            <w:vAlign w:val="center"/>
          </w:tcPr>
          <w:p>
            <w:pPr>
              <w:spacing w:line="280" w:lineRule="exact"/>
              <w:rPr>
                <w:rFonts w:ascii="宋体" w:hAnsi="宋体"/>
                <w:szCs w:val="21"/>
              </w:rPr>
            </w:pPr>
            <w:r>
              <w:rPr>
                <w:rFonts w:hint="eastAsia" w:ascii="宋体" w:hAnsi="宋体"/>
                <w:szCs w:val="21"/>
              </w:rPr>
              <w:t>公共场所经营者应当每年按照卫生标准、规范的要求对公共场所的空气、微小气候、水质、采光、照明、噪声、顾客用品用具等进行卫生检测</w:t>
            </w:r>
          </w:p>
        </w:tc>
        <w:tc>
          <w:tcPr>
            <w:tcW w:w="2302" w:type="dxa"/>
            <w:vAlign w:val="center"/>
          </w:tcPr>
          <w:p>
            <w:pPr>
              <w:spacing w:line="280" w:lineRule="exact"/>
              <w:rPr>
                <w:rFonts w:ascii="宋体" w:hAnsi="宋体"/>
                <w:szCs w:val="21"/>
              </w:rPr>
            </w:pPr>
            <w:r>
              <w:rPr>
                <w:rFonts w:hint="eastAsia" w:ascii="宋体" w:hAnsi="宋体"/>
                <w:szCs w:val="21"/>
              </w:rPr>
              <w:t>公共场所经营者未每年按照卫生标准、规范的要求对公共场所的空气、微小气候、水质、采光、照明、噪声、顾客用品用具等进行卫生检测</w:t>
            </w:r>
          </w:p>
        </w:tc>
        <w:tc>
          <w:tcPr>
            <w:tcW w:w="4337" w:type="dxa"/>
            <w:vAlign w:val="center"/>
          </w:tcPr>
          <w:p>
            <w:pPr>
              <w:adjustRightInd w:val="0"/>
              <w:spacing w:line="280" w:lineRule="exact"/>
              <w:ind w:firstLine="420" w:firstLineChars="200"/>
              <w:rPr>
                <w:rFonts w:ascii="宋体" w:hAnsi="宋体"/>
                <w:szCs w:val="21"/>
              </w:rPr>
            </w:pPr>
            <w:r>
              <w:rPr>
                <w:rFonts w:hint="eastAsia" w:ascii="宋体" w:hAnsi="宋体"/>
                <w:szCs w:val="21"/>
              </w:rPr>
              <w:t>《公共场所卫生管理条例实施细则》　</w:t>
            </w:r>
          </w:p>
          <w:p>
            <w:pPr>
              <w:widowControl/>
              <w:ind w:firstLine="420" w:firstLineChars="200"/>
              <w:jc w:val="left"/>
              <w:rPr>
                <w:rFonts w:ascii="宋体" w:hAnsi="宋体"/>
                <w:szCs w:val="21"/>
              </w:rPr>
            </w:pPr>
            <w:r>
              <w:rPr>
                <w:rFonts w:hint="eastAsia" w:ascii="宋体" w:hAnsi="宋体"/>
                <w:szCs w:val="21"/>
              </w:rPr>
              <w:t>第十九条　公共场所经营者应当按照卫生标准、规范的要求对公共场所的空气、微小气候、水质、采光、照明、噪声、顾客用品用具等进行卫生检测，检测每年不得少于一次；检测结果不符合卫生标准、规范要求的应当及时整改。公共场所经营者不具备检测能力的，可以委托检测。公共场所经营者应当在醒目位置如实公示检测结果，并对其卫生检测的真实性负责，依法依规承担相应后果。</w:t>
            </w:r>
          </w:p>
          <w:p>
            <w:pPr>
              <w:adjustRightInd w:val="0"/>
              <w:spacing w:line="266" w:lineRule="exact"/>
              <w:ind w:firstLine="420" w:firstLineChars="200"/>
              <w:rPr>
                <w:rFonts w:ascii="宋体" w:hAnsi="宋体"/>
                <w:szCs w:val="21"/>
              </w:rPr>
            </w:pPr>
            <w:r>
              <w:rPr>
                <w:rFonts w:hint="eastAsia" w:ascii="宋体" w:hAnsi="宋体"/>
                <w:szCs w:val="21"/>
              </w:rPr>
              <w:t>第三十六条第（一）项　公共场所经营者有下列情形之一的，由县级以上地方人民政府卫生计生行政部门责令限期改正，给予警告，并可处以二千元以下罚款；逾期不改正，造成公共场所卫生质量不符合卫生标准和要求的，处以二千元以上二万元以下罚款；情节严重的，可以依法责令停业整顿，直至吊销卫生许可证：</w:t>
            </w:r>
            <w:r>
              <w:rPr>
                <w:rFonts w:hint="eastAsia" w:ascii="宋体" w:hAnsi="宋体"/>
                <w:szCs w:val="21"/>
              </w:rPr>
              <w:br w:type="textWrapping"/>
            </w:r>
            <w:r>
              <w:rPr>
                <w:rFonts w:hint="eastAsia" w:ascii="宋体" w:hAnsi="宋体"/>
                <w:szCs w:val="21"/>
              </w:rPr>
              <w:t>　　 （一）未按照规定对公共场所的空气、微小气候、水质、采光、照明、噪声、顾客用品用具等进行卫生检测的；</w:t>
            </w:r>
            <w:r>
              <w:rPr>
                <w:rFonts w:hint="eastAsia" w:ascii="宋体" w:hAnsi="宋体" w:cs="宋体"/>
                <w:szCs w:val="21"/>
                <w:shd w:val="clear" w:color="auto" w:fill="FFFFFF"/>
              </w:rPr>
              <w:br w:type="textWrapping"/>
            </w:r>
            <w:r>
              <w:rPr>
                <w:rFonts w:hint="eastAsia" w:ascii="宋体" w:hAnsi="宋体" w:cs="宋体"/>
                <w:szCs w:val="21"/>
                <w:shd w:val="clear" w:color="auto" w:fill="FFFFFF"/>
              </w:rPr>
              <w:t>　　</w:t>
            </w:r>
          </w:p>
        </w:tc>
        <w:tc>
          <w:tcPr>
            <w:tcW w:w="765" w:type="dxa"/>
            <w:vAlign w:val="center"/>
          </w:tcPr>
          <w:p>
            <w:pPr>
              <w:widowControl/>
              <w:spacing w:line="280" w:lineRule="exact"/>
              <w:ind w:left="-105" w:leftChars="-50" w:right="-105" w:rightChars="-50"/>
              <w:jc w:val="center"/>
              <w:rPr>
                <w:rFonts w:ascii="宋体" w:hAnsi="宋体" w:cs="宋体"/>
                <w:szCs w:val="21"/>
              </w:rPr>
            </w:pPr>
            <w:r>
              <w:rPr>
                <w:rFonts w:hint="eastAsia" w:ascii="宋体" w:hAnsi="宋体" w:cs="宋体"/>
                <w:kern w:val="0"/>
                <w:szCs w:val="21"/>
              </w:rPr>
              <w:t>★★★</w:t>
            </w:r>
          </w:p>
        </w:tc>
        <w:tc>
          <w:tcPr>
            <w:tcW w:w="2959" w:type="dxa"/>
            <w:gridSpan w:val="2"/>
            <w:vAlign w:val="center"/>
          </w:tcPr>
          <w:p>
            <w:pPr>
              <w:spacing w:line="280" w:lineRule="exact"/>
              <w:rPr>
                <w:rFonts w:ascii="宋体" w:hAnsi="宋体"/>
                <w:szCs w:val="21"/>
              </w:rPr>
            </w:pPr>
            <w:r>
              <w:rPr>
                <w:rFonts w:hint="eastAsia" w:ascii="宋体" w:hAnsi="宋体"/>
                <w:szCs w:val="21"/>
              </w:rPr>
              <w:t>公共场所经营者应每年对公共场所的空气、微小气候、水质、采光、照明、噪声、顾客用品用具等进行卫生检测，并将检测结果公示在场所内醒目位置</w:t>
            </w:r>
          </w:p>
        </w:tc>
        <w:tc>
          <w:tcPr>
            <w:tcW w:w="1576" w:type="dxa"/>
            <w:vAlign w:val="center"/>
          </w:tcPr>
          <w:p>
            <w:pPr>
              <w:overflowPunct w:val="0"/>
              <w:adjustRightInd w:val="0"/>
              <w:spacing w:line="280" w:lineRule="exact"/>
              <w:rPr>
                <w:rFonts w:ascii="宋体" w:hAnsi="宋体"/>
                <w:szCs w:val="21"/>
              </w:rPr>
            </w:pPr>
            <w:r>
              <w:rPr>
                <w:rFonts w:hint="eastAsia" w:ascii="宋体" w:hAnsi="宋体"/>
                <w:szCs w:val="21"/>
              </w:rPr>
              <w:t>卫生监督所公共场所与爱国卫生监督科：85735692</w:t>
            </w:r>
          </w:p>
          <w:p>
            <w:pPr>
              <w:spacing w:line="280" w:lineRule="exact"/>
              <w:rPr>
                <w:rFonts w:ascii="宋体" w:hAnsi="宋体"/>
                <w:szCs w:val="21"/>
              </w:rPr>
            </w:pPr>
            <w:r>
              <w:rPr>
                <w:rFonts w:hint="eastAsia" w:ascii="宋体" w:hAnsi="宋体"/>
                <w:szCs w:val="21"/>
              </w:rPr>
              <w:t>/82418114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38" w:hRule="atLeast"/>
          <w:jc w:val="center"/>
        </w:trPr>
        <w:tc>
          <w:tcPr>
            <w:tcW w:w="879" w:type="dxa"/>
            <w:vAlign w:val="center"/>
          </w:tcPr>
          <w:p>
            <w:pPr>
              <w:spacing w:line="280" w:lineRule="exact"/>
              <w:jc w:val="center"/>
              <w:rPr>
                <w:szCs w:val="21"/>
              </w:rPr>
            </w:pPr>
            <w:r>
              <w:rPr>
                <w:rFonts w:hint="eastAsia"/>
                <w:szCs w:val="21"/>
              </w:rPr>
              <w:t>8</w:t>
            </w:r>
          </w:p>
        </w:tc>
        <w:tc>
          <w:tcPr>
            <w:tcW w:w="1774" w:type="dxa"/>
            <w:vAlign w:val="center"/>
          </w:tcPr>
          <w:p>
            <w:pPr>
              <w:spacing w:line="280" w:lineRule="exact"/>
              <w:rPr>
                <w:rFonts w:ascii="宋体" w:hAnsi="宋体"/>
                <w:szCs w:val="21"/>
              </w:rPr>
            </w:pPr>
            <w:r>
              <w:rPr>
                <w:rFonts w:hint="eastAsia" w:ascii="宋体" w:hAnsi="宋体"/>
                <w:szCs w:val="21"/>
              </w:rPr>
              <w:t>公共场所经营者提供给顾客使用的用品用具应当保证卫生安全，可以反复使用的用品用具应当一客一换，按照有关卫生标准和要求清洗、消毒、保洁。禁止重复使用一次性用品用具。</w:t>
            </w:r>
          </w:p>
        </w:tc>
        <w:tc>
          <w:tcPr>
            <w:tcW w:w="2302" w:type="dxa"/>
            <w:vAlign w:val="center"/>
          </w:tcPr>
          <w:p>
            <w:pPr>
              <w:spacing w:line="280" w:lineRule="exact"/>
              <w:rPr>
                <w:rFonts w:ascii="宋体" w:hAnsi="宋体"/>
                <w:szCs w:val="21"/>
              </w:rPr>
            </w:pPr>
            <w:r>
              <w:rPr>
                <w:rFonts w:hint="eastAsia" w:ascii="宋体" w:hAnsi="宋体"/>
                <w:szCs w:val="21"/>
              </w:rPr>
              <w:t>公共场所经营者未按照有关卫生标准和要求对顾客用品用具进行清洗、消毒、保洁。重复使用一次性用品用具。</w:t>
            </w:r>
          </w:p>
        </w:tc>
        <w:tc>
          <w:tcPr>
            <w:tcW w:w="4337" w:type="dxa"/>
            <w:vAlign w:val="center"/>
          </w:tcPr>
          <w:p>
            <w:pPr>
              <w:adjustRightInd w:val="0"/>
              <w:spacing w:line="280" w:lineRule="exact"/>
              <w:ind w:firstLine="420" w:firstLineChars="200"/>
              <w:rPr>
                <w:rFonts w:ascii="宋体" w:hAnsi="宋体"/>
                <w:szCs w:val="21"/>
              </w:rPr>
            </w:pPr>
            <w:r>
              <w:rPr>
                <w:rFonts w:hint="eastAsia" w:ascii="宋体" w:hAnsi="宋体"/>
                <w:szCs w:val="21"/>
              </w:rPr>
              <w:t>《公共场所卫生管理条例实施细则》</w:t>
            </w:r>
          </w:p>
          <w:p>
            <w:pPr>
              <w:adjustRightInd w:val="0"/>
              <w:spacing w:line="280" w:lineRule="exact"/>
              <w:ind w:firstLine="420" w:firstLineChars="200"/>
              <w:rPr>
                <w:rFonts w:ascii="宋体" w:hAnsi="宋体"/>
                <w:szCs w:val="21"/>
              </w:rPr>
            </w:pPr>
            <w:r>
              <w:rPr>
                <w:rFonts w:hint="eastAsia" w:ascii="宋体" w:hAnsi="宋体"/>
                <w:szCs w:val="21"/>
              </w:rPr>
              <w:t>第十四条　公共场所经营者提供给顾客使用的用品用具应当保证卫生安全，可以反复使用的用品用具应当一客一换，按照有关卫生标准和要求清洗、消毒、保洁。禁止重复使用一次性用品用具。</w:t>
            </w:r>
          </w:p>
          <w:p>
            <w:pPr>
              <w:adjustRightInd w:val="0"/>
              <w:spacing w:line="266" w:lineRule="exact"/>
              <w:ind w:firstLine="420" w:firstLineChars="200"/>
              <w:rPr>
                <w:rFonts w:ascii="宋体" w:hAnsi="宋体"/>
                <w:szCs w:val="21"/>
              </w:rPr>
            </w:pPr>
            <w:r>
              <w:rPr>
                <w:rFonts w:hint="eastAsia" w:ascii="宋体" w:hAnsi="宋体"/>
                <w:szCs w:val="21"/>
              </w:rPr>
              <w:t>第三十六条第（二）项　公共场所经营者有下列情形之一的，由县级以上地方人民政府卫生计生行政部门责令限期改正，给予警告，并可处以二千元以下罚款；逾期不改正，造成公共场所卫生质量不符合卫生标准和要求的，处以二千元以上二万元以下罚款；情节严重的，可以依法责令停业整顿，直至吊销卫生许可证：</w:t>
            </w:r>
            <w:r>
              <w:rPr>
                <w:rFonts w:hint="eastAsia" w:ascii="宋体" w:hAnsi="宋体"/>
                <w:szCs w:val="21"/>
              </w:rPr>
              <w:br w:type="textWrapping"/>
            </w:r>
            <w:r>
              <w:rPr>
                <w:rFonts w:hint="eastAsia" w:ascii="宋体" w:hAnsi="宋体"/>
                <w:szCs w:val="21"/>
              </w:rPr>
              <w:t>　　（二）未按照规定对顾客用品用具进行清洗、消毒、保洁，或者重复使用一次性用品用具的。</w:t>
            </w:r>
          </w:p>
        </w:tc>
        <w:tc>
          <w:tcPr>
            <w:tcW w:w="765" w:type="dxa"/>
            <w:vAlign w:val="center"/>
          </w:tcPr>
          <w:p>
            <w:pPr>
              <w:widowControl/>
              <w:spacing w:line="280" w:lineRule="exact"/>
              <w:ind w:left="-105" w:leftChars="-50" w:right="-105" w:rightChars="-50"/>
              <w:jc w:val="center"/>
              <w:rPr>
                <w:rFonts w:ascii="宋体" w:hAnsi="宋体" w:cs="宋体"/>
                <w:szCs w:val="21"/>
              </w:rPr>
            </w:pPr>
            <w:r>
              <w:rPr>
                <w:rFonts w:hint="eastAsia" w:ascii="宋体" w:hAnsi="宋体" w:cs="宋体"/>
                <w:kern w:val="0"/>
                <w:szCs w:val="21"/>
              </w:rPr>
              <w:t>★★★</w:t>
            </w:r>
          </w:p>
        </w:tc>
        <w:tc>
          <w:tcPr>
            <w:tcW w:w="2959" w:type="dxa"/>
            <w:gridSpan w:val="2"/>
            <w:vAlign w:val="center"/>
          </w:tcPr>
          <w:p>
            <w:pPr>
              <w:spacing w:line="280" w:lineRule="exact"/>
              <w:rPr>
                <w:rFonts w:ascii="宋体" w:hAnsi="宋体"/>
                <w:szCs w:val="21"/>
              </w:rPr>
            </w:pPr>
            <w:r>
              <w:rPr>
                <w:rFonts w:hint="eastAsia" w:ascii="宋体" w:hAnsi="宋体"/>
                <w:szCs w:val="21"/>
              </w:rPr>
              <w:t>公共场所经营者应当按照《公共场所卫生管理规范》（GB37487-2019 ）中相关要求做好顾客用品用具清洗、消毒和保洁工作，禁止重复使用一次性用品用具。</w:t>
            </w:r>
          </w:p>
        </w:tc>
        <w:tc>
          <w:tcPr>
            <w:tcW w:w="1576" w:type="dxa"/>
            <w:vAlign w:val="center"/>
          </w:tcPr>
          <w:p>
            <w:pPr>
              <w:overflowPunct w:val="0"/>
              <w:adjustRightInd w:val="0"/>
              <w:spacing w:line="280" w:lineRule="exact"/>
              <w:rPr>
                <w:rFonts w:ascii="宋体" w:hAnsi="宋体"/>
                <w:szCs w:val="21"/>
              </w:rPr>
            </w:pPr>
            <w:r>
              <w:rPr>
                <w:rFonts w:hint="eastAsia" w:ascii="宋体" w:hAnsi="宋体"/>
                <w:szCs w:val="21"/>
              </w:rPr>
              <w:t>卫生监督所公共场所与爱国卫生监督科：85735692</w:t>
            </w:r>
          </w:p>
          <w:p>
            <w:pPr>
              <w:spacing w:line="280" w:lineRule="exact"/>
              <w:rPr>
                <w:rFonts w:ascii="宋体" w:hAnsi="宋体"/>
                <w:szCs w:val="21"/>
              </w:rPr>
            </w:pPr>
            <w:r>
              <w:rPr>
                <w:rFonts w:hint="eastAsia" w:ascii="宋体" w:hAnsi="宋体"/>
                <w:szCs w:val="21"/>
              </w:rPr>
              <w:t>/82418114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38" w:hRule="atLeast"/>
          <w:jc w:val="center"/>
        </w:trPr>
        <w:tc>
          <w:tcPr>
            <w:tcW w:w="879" w:type="dxa"/>
            <w:vAlign w:val="center"/>
          </w:tcPr>
          <w:p>
            <w:pPr>
              <w:spacing w:line="280" w:lineRule="exact"/>
              <w:jc w:val="center"/>
              <w:rPr>
                <w:szCs w:val="21"/>
              </w:rPr>
            </w:pPr>
            <w:r>
              <w:rPr>
                <w:rFonts w:hint="eastAsia"/>
                <w:szCs w:val="21"/>
              </w:rPr>
              <w:t>9</w:t>
            </w:r>
          </w:p>
        </w:tc>
        <w:tc>
          <w:tcPr>
            <w:tcW w:w="1774" w:type="dxa"/>
            <w:vAlign w:val="center"/>
          </w:tcPr>
          <w:p>
            <w:pPr>
              <w:spacing w:line="280" w:lineRule="exact"/>
              <w:rPr>
                <w:rFonts w:ascii="宋体" w:hAnsi="宋体"/>
                <w:szCs w:val="21"/>
              </w:rPr>
            </w:pPr>
            <w:r>
              <w:rPr>
                <w:rFonts w:hint="eastAsia" w:ascii="宋体" w:hAnsi="宋体"/>
                <w:szCs w:val="21"/>
              </w:rPr>
              <w:t>单位或个人开办医疗机构应当按照国家有关规定办理审批或者备案手续</w:t>
            </w:r>
          </w:p>
        </w:tc>
        <w:tc>
          <w:tcPr>
            <w:tcW w:w="2302" w:type="dxa"/>
            <w:vAlign w:val="center"/>
          </w:tcPr>
          <w:p>
            <w:pPr>
              <w:spacing w:line="280" w:lineRule="exact"/>
              <w:rPr>
                <w:rFonts w:ascii="宋体" w:hAnsi="宋体"/>
                <w:szCs w:val="21"/>
              </w:rPr>
            </w:pPr>
            <w:r>
              <w:rPr>
                <w:rFonts w:hint="eastAsia" w:ascii="宋体" w:hAnsi="宋体"/>
                <w:szCs w:val="21"/>
              </w:rPr>
              <w:t>单位或个人未取得医疗机构执业许可证擅自执业。</w:t>
            </w:r>
          </w:p>
        </w:tc>
        <w:tc>
          <w:tcPr>
            <w:tcW w:w="4337" w:type="dxa"/>
            <w:vAlign w:val="center"/>
          </w:tcPr>
          <w:p>
            <w:pPr>
              <w:pStyle w:val="8"/>
              <w:spacing w:before="0" w:beforeAutospacing="0" w:after="0" w:afterAutospacing="0" w:line="280" w:lineRule="exact"/>
              <w:ind w:firstLine="480"/>
              <w:jc w:val="both"/>
            </w:pPr>
            <w:r>
              <w:rPr>
                <w:rFonts w:hint="eastAsia" w:ascii="宋体" w:hAnsi="宋体" w:eastAsia="宋体"/>
                <w:sz w:val="21"/>
                <w:szCs w:val="21"/>
              </w:rPr>
              <w:t>《医疗机构管理条例》</w:t>
            </w:r>
          </w:p>
          <w:p>
            <w:pPr>
              <w:pStyle w:val="8"/>
              <w:spacing w:before="0" w:beforeAutospacing="0" w:after="0" w:afterAutospacing="0" w:line="280" w:lineRule="exact"/>
              <w:ind w:firstLine="480"/>
              <w:jc w:val="both"/>
            </w:pPr>
            <w:r>
              <w:rPr>
                <w:rFonts w:hint="eastAsia" w:ascii="宋体" w:hAnsi="宋体" w:eastAsia="宋体"/>
                <w:sz w:val="21"/>
                <w:szCs w:val="21"/>
              </w:rPr>
              <w:t>第二十三条　任何单位或者个人，未取得《医疗机构执业许可证》或者未经备案，不得开展诊疗活动。</w:t>
            </w:r>
          </w:p>
          <w:p>
            <w:pPr>
              <w:pStyle w:val="8"/>
              <w:spacing w:before="0" w:beforeAutospacing="0" w:after="0" w:afterAutospacing="0" w:line="280" w:lineRule="exact"/>
              <w:ind w:firstLine="480"/>
              <w:jc w:val="both"/>
            </w:pPr>
            <w:r>
              <w:rPr>
                <w:rFonts w:hint="eastAsia" w:ascii="宋体" w:hAnsi="宋体" w:eastAsia="宋体"/>
                <w:sz w:val="21"/>
                <w:szCs w:val="21"/>
              </w:rPr>
              <w:t>第四十三条　违反本条例第二十三条规定，未取得《医疗机构执业许可证》擅自执业的，依照《中华人民共和国基本医疗卫生与健康促进法》的规定予以处罚。</w:t>
            </w:r>
          </w:p>
          <w:p>
            <w:pPr>
              <w:pStyle w:val="8"/>
              <w:spacing w:before="0" w:beforeAutospacing="0" w:after="0" w:afterAutospacing="0" w:line="280" w:lineRule="exact"/>
              <w:ind w:firstLine="480"/>
              <w:jc w:val="both"/>
            </w:pPr>
            <w:r>
              <w:rPr>
                <w:rFonts w:hint="eastAsia" w:ascii="宋体" w:hAnsi="宋体" w:eastAsia="宋体"/>
                <w:sz w:val="21"/>
                <w:szCs w:val="21"/>
              </w:rPr>
              <w:t>违反本条例第二十三条规定，诊所未经备案执业的，由县级以上人民政府卫生行政部门责令其改正，没收违法所得，并处3万元以下罚款；拒不改正的，责令其停止执业活动。</w:t>
            </w:r>
          </w:p>
          <w:p>
            <w:pPr>
              <w:pStyle w:val="8"/>
              <w:spacing w:before="0" w:beforeAutospacing="0" w:after="0" w:afterAutospacing="0" w:line="280" w:lineRule="exact"/>
              <w:ind w:firstLine="480"/>
              <w:jc w:val="both"/>
            </w:pPr>
            <w:r>
              <w:rPr>
                <w:rFonts w:hint="eastAsia" w:ascii="宋体" w:hAnsi="宋体" w:eastAsia="宋体"/>
                <w:sz w:val="21"/>
                <w:szCs w:val="21"/>
              </w:rPr>
              <w:t>《中华人民共和国基本医疗卫生与健康促进法》</w:t>
            </w:r>
          </w:p>
          <w:p>
            <w:pPr>
              <w:adjustRightInd w:val="0"/>
              <w:spacing w:line="280" w:lineRule="exact"/>
              <w:ind w:firstLine="420" w:firstLineChars="200"/>
              <w:rPr>
                <w:rFonts w:ascii="宋体" w:hAnsi="宋体"/>
                <w:szCs w:val="21"/>
              </w:rPr>
            </w:pPr>
            <w:r>
              <w:rPr>
                <w:rFonts w:hint="eastAsia" w:ascii="宋体" w:hAnsi="宋体"/>
                <w:szCs w:val="21"/>
              </w:rPr>
              <w:t>第九十九条第一款　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tc>
        <w:tc>
          <w:tcPr>
            <w:tcW w:w="765" w:type="dxa"/>
            <w:vAlign w:val="center"/>
          </w:tcPr>
          <w:p>
            <w:pPr>
              <w:widowControl/>
              <w:spacing w:line="280" w:lineRule="exact"/>
              <w:ind w:left="-105" w:leftChars="-50" w:right="-105" w:rightChars="-50"/>
              <w:jc w:val="center"/>
              <w:rPr>
                <w:rFonts w:ascii="宋体" w:hAnsi="宋体" w:cs="宋体"/>
                <w:kern w:val="0"/>
                <w:szCs w:val="21"/>
              </w:rPr>
            </w:pPr>
            <w:r>
              <w:rPr>
                <w:rFonts w:hint="eastAsia" w:ascii="宋体" w:hAnsi="宋体"/>
                <w:szCs w:val="21"/>
              </w:rPr>
              <w:t>★★★</w:t>
            </w:r>
          </w:p>
        </w:tc>
        <w:tc>
          <w:tcPr>
            <w:tcW w:w="2959" w:type="dxa"/>
            <w:gridSpan w:val="2"/>
            <w:vAlign w:val="center"/>
          </w:tcPr>
          <w:p>
            <w:pPr>
              <w:spacing w:line="280" w:lineRule="exact"/>
              <w:rPr>
                <w:rFonts w:ascii="宋体" w:hAnsi="宋体"/>
                <w:szCs w:val="21"/>
              </w:rPr>
            </w:pPr>
            <w:r>
              <w:rPr>
                <w:rFonts w:hint="eastAsia" w:ascii="宋体" w:hAnsi="宋体"/>
                <w:szCs w:val="21"/>
              </w:rPr>
              <w:t>单位或个人开办医疗机构应当按照国家有关规定办理审批或者备案手续。</w:t>
            </w:r>
          </w:p>
        </w:tc>
        <w:tc>
          <w:tcPr>
            <w:tcW w:w="1576" w:type="dxa"/>
            <w:vAlign w:val="center"/>
          </w:tcPr>
          <w:p>
            <w:pPr>
              <w:overflowPunct w:val="0"/>
              <w:adjustRightInd w:val="0"/>
              <w:spacing w:line="280" w:lineRule="exact"/>
              <w:rPr>
                <w:rFonts w:ascii="宋体" w:hAnsi="宋体"/>
                <w:szCs w:val="21"/>
              </w:rPr>
            </w:pPr>
            <w:r>
              <w:rPr>
                <w:rFonts w:hint="eastAsia" w:ascii="宋体" w:hAnsi="宋体"/>
                <w:szCs w:val="21"/>
              </w:rPr>
              <w:t>卫生监督所医疗卫生监督科：</w:t>
            </w:r>
            <w:r>
              <w:rPr>
                <w:rFonts w:ascii="宋体" w:hAnsi="宋体"/>
                <w:szCs w:val="21"/>
              </w:rPr>
              <w:t xml:space="preserve"> 83158873/82832319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38" w:hRule="atLeast"/>
          <w:jc w:val="center"/>
        </w:trPr>
        <w:tc>
          <w:tcPr>
            <w:tcW w:w="879" w:type="dxa"/>
            <w:vAlign w:val="center"/>
          </w:tcPr>
          <w:p>
            <w:pPr>
              <w:spacing w:line="280" w:lineRule="exact"/>
              <w:jc w:val="center"/>
              <w:rPr>
                <w:szCs w:val="21"/>
              </w:rPr>
            </w:pPr>
            <w:r>
              <w:rPr>
                <w:rFonts w:hint="eastAsia"/>
                <w:szCs w:val="21"/>
              </w:rPr>
              <w:t>1</w:t>
            </w:r>
            <w:r>
              <w:rPr>
                <w:szCs w:val="21"/>
              </w:rPr>
              <w:t>0</w:t>
            </w:r>
          </w:p>
        </w:tc>
        <w:tc>
          <w:tcPr>
            <w:tcW w:w="1774" w:type="dxa"/>
            <w:vAlign w:val="center"/>
          </w:tcPr>
          <w:p>
            <w:pPr>
              <w:spacing w:line="280" w:lineRule="exact"/>
              <w:rPr>
                <w:rFonts w:ascii="宋体" w:hAnsi="宋体"/>
                <w:szCs w:val="21"/>
              </w:rPr>
            </w:pPr>
            <w:r>
              <w:rPr>
                <w:rFonts w:hint="eastAsia" w:ascii="宋体" w:hAnsi="宋体"/>
                <w:szCs w:val="21"/>
              </w:rPr>
              <w:t>医疗机构必须按照核准登记或者备案的诊疗科目开展诊疗活动</w:t>
            </w:r>
          </w:p>
        </w:tc>
        <w:tc>
          <w:tcPr>
            <w:tcW w:w="2302" w:type="dxa"/>
            <w:vAlign w:val="center"/>
          </w:tcPr>
          <w:p>
            <w:pPr>
              <w:spacing w:line="280" w:lineRule="exact"/>
              <w:rPr>
                <w:rFonts w:ascii="宋体" w:hAnsi="宋体"/>
                <w:szCs w:val="21"/>
              </w:rPr>
            </w:pPr>
            <w:r>
              <w:rPr>
                <w:rFonts w:hint="eastAsia" w:ascii="宋体" w:hAnsi="宋体"/>
                <w:szCs w:val="21"/>
              </w:rPr>
              <w:t>医疗机构诊疗活动超出登记或者备案范围。</w:t>
            </w:r>
          </w:p>
        </w:tc>
        <w:tc>
          <w:tcPr>
            <w:tcW w:w="4337" w:type="dxa"/>
            <w:vAlign w:val="center"/>
          </w:tcPr>
          <w:p>
            <w:pPr>
              <w:pStyle w:val="8"/>
              <w:spacing w:before="0" w:beforeAutospacing="0" w:after="0" w:afterAutospacing="0" w:line="280" w:lineRule="exact"/>
              <w:ind w:firstLine="480"/>
              <w:jc w:val="both"/>
            </w:pPr>
            <w:r>
              <w:rPr>
                <w:rFonts w:hint="eastAsia" w:ascii="宋体" w:hAnsi="宋体" w:eastAsia="宋体"/>
                <w:sz w:val="21"/>
                <w:szCs w:val="21"/>
              </w:rPr>
              <w:t>《医疗机构管理条例》</w:t>
            </w:r>
          </w:p>
          <w:p>
            <w:pPr>
              <w:pStyle w:val="8"/>
              <w:spacing w:before="0" w:beforeAutospacing="0" w:after="0" w:afterAutospacing="0" w:line="280" w:lineRule="exact"/>
              <w:ind w:firstLine="480"/>
              <w:jc w:val="both"/>
            </w:pPr>
            <w:r>
              <w:rPr>
                <w:rFonts w:hint="eastAsia" w:ascii="宋体" w:hAnsi="宋体" w:eastAsia="宋体"/>
                <w:sz w:val="21"/>
                <w:szCs w:val="21"/>
              </w:rPr>
              <w:t>第二十六条 医疗机构必须按照核准登记或者备案的诊疗科目开展诊疗活动。</w:t>
            </w:r>
          </w:p>
          <w:p>
            <w:pPr>
              <w:adjustRightInd w:val="0"/>
              <w:spacing w:line="280" w:lineRule="exact"/>
              <w:ind w:firstLine="420" w:firstLineChars="200"/>
              <w:rPr>
                <w:rFonts w:ascii="宋体" w:hAnsi="宋体"/>
                <w:szCs w:val="21"/>
              </w:rPr>
            </w:pPr>
            <w:r>
              <w:rPr>
                <w:rFonts w:hint="eastAsia" w:ascii="宋体" w:hAnsi="宋体"/>
                <w:szCs w:val="21"/>
              </w:rPr>
              <w:t>第四十六条 违反本条例第二十六条规定，诊疗活动超出登记或者备案范围的，由县级以上人民政府卫生行政部门予以警告、责令其改正，没收违法所得，并可以根据情节处以1万元以上10万元以下的罚款；情节严重的，吊销其《医疗机构执业许可证》或者责令其停止执业活动。</w:t>
            </w:r>
          </w:p>
        </w:tc>
        <w:tc>
          <w:tcPr>
            <w:tcW w:w="765" w:type="dxa"/>
            <w:vAlign w:val="center"/>
          </w:tcPr>
          <w:p>
            <w:pPr>
              <w:widowControl/>
              <w:spacing w:line="280" w:lineRule="exact"/>
              <w:ind w:left="-105" w:leftChars="-50" w:right="-105" w:rightChars="-50"/>
              <w:jc w:val="center"/>
              <w:rPr>
                <w:rFonts w:ascii="宋体" w:hAnsi="宋体" w:cs="宋体"/>
                <w:kern w:val="0"/>
                <w:szCs w:val="21"/>
              </w:rPr>
            </w:pPr>
            <w:r>
              <w:rPr>
                <w:rFonts w:hint="eastAsia" w:ascii="宋体" w:hAnsi="宋体"/>
                <w:szCs w:val="21"/>
              </w:rPr>
              <w:t>★★★</w:t>
            </w:r>
          </w:p>
        </w:tc>
        <w:tc>
          <w:tcPr>
            <w:tcW w:w="2959" w:type="dxa"/>
            <w:gridSpan w:val="2"/>
            <w:vAlign w:val="center"/>
          </w:tcPr>
          <w:p>
            <w:pPr>
              <w:spacing w:line="280" w:lineRule="exact"/>
              <w:rPr>
                <w:rFonts w:ascii="宋体" w:hAnsi="宋体"/>
                <w:szCs w:val="21"/>
              </w:rPr>
            </w:pPr>
            <w:r>
              <w:rPr>
                <w:rFonts w:hint="eastAsia" w:ascii="宋体" w:hAnsi="宋体"/>
                <w:szCs w:val="21"/>
              </w:rPr>
              <w:t>医疗机构必须按照核准登记或者备案的诊疗科目开展诊疗活动。</w:t>
            </w:r>
          </w:p>
        </w:tc>
        <w:tc>
          <w:tcPr>
            <w:tcW w:w="1576" w:type="dxa"/>
            <w:vAlign w:val="center"/>
          </w:tcPr>
          <w:p>
            <w:pPr>
              <w:overflowPunct w:val="0"/>
              <w:adjustRightInd w:val="0"/>
              <w:spacing w:line="280" w:lineRule="exact"/>
              <w:rPr>
                <w:rFonts w:ascii="宋体" w:hAnsi="宋体"/>
                <w:szCs w:val="21"/>
              </w:rPr>
            </w:pPr>
            <w:r>
              <w:rPr>
                <w:rFonts w:hint="eastAsia" w:ascii="宋体" w:hAnsi="宋体"/>
                <w:szCs w:val="21"/>
              </w:rPr>
              <w:t>卫生监督所医疗卫生监督科：</w:t>
            </w:r>
            <w:r>
              <w:rPr>
                <w:rFonts w:ascii="宋体" w:hAnsi="宋体"/>
                <w:szCs w:val="21"/>
              </w:rPr>
              <w:t xml:space="preserve"> 83158873/82832319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38" w:hRule="atLeast"/>
          <w:jc w:val="center"/>
        </w:trPr>
        <w:tc>
          <w:tcPr>
            <w:tcW w:w="879" w:type="dxa"/>
            <w:vAlign w:val="center"/>
          </w:tcPr>
          <w:p>
            <w:pPr>
              <w:spacing w:line="280" w:lineRule="exact"/>
              <w:jc w:val="center"/>
              <w:rPr>
                <w:szCs w:val="21"/>
              </w:rPr>
            </w:pPr>
            <w:r>
              <w:rPr>
                <w:rFonts w:hint="eastAsia"/>
                <w:szCs w:val="21"/>
              </w:rPr>
              <w:t>1</w:t>
            </w:r>
            <w:r>
              <w:rPr>
                <w:szCs w:val="21"/>
              </w:rPr>
              <w:t>1</w:t>
            </w:r>
          </w:p>
        </w:tc>
        <w:tc>
          <w:tcPr>
            <w:tcW w:w="1774" w:type="dxa"/>
            <w:vAlign w:val="center"/>
          </w:tcPr>
          <w:p>
            <w:pPr>
              <w:spacing w:line="280" w:lineRule="exact"/>
              <w:rPr>
                <w:rFonts w:ascii="宋体" w:hAnsi="宋体"/>
                <w:szCs w:val="21"/>
              </w:rPr>
            </w:pPr>
            <w:r>
              <w:rPr>
                <w:rFonts w:hint="eastAsia" w:ascii="宋体" w:hAnsi="宋体"/>
                <w:szCs w:val="21"/>
              </w:rPr>
              <w:t>医疗机构应当使用相应的卫生技术人员从事医疗卫生技术工作</w:t>
            </w:r>
          </w:p>
        </w:tc>
        <w:tc>
          <w:tcPr>
            <w:tcW w:w="2302" w:type="dxa"/>
            <w:vAlign w:val="center"/>
          </w:tcPr>
          <w:p>
            <w:pPr>
              <w:spacing w:line="280" w:lineRule="exact"/>
              <w:rPr>
                <w:rFonts w:ascii="宋体" w:hAnsi="宋体"/>
                <w:szCs w:val="21"/>
              </w:rPr>
            </w:pPr>
            <w:r>
              <w:rPr>
                <w:rFonts w:hint="eastAsia" w:ascii="宋体" w:hAnsi="宋体"/>
                <w:szCs w:val="21"/>
              </w:rPr>
              <w:t>医疗机构使用非卫生技术人员从事医疗卫生技术工作的。</w:t>
            </w:r>
          </w:p>
        </w:tc>
        <w:tc>
          <w:tcPr>
            <w:tcW w:w="4337" w:type="dxa"/>
            <w:vAlign w:val="center"/>
          </w:tcPr>
          <w:p>
            <w:pPr>
              <w:pStyle w:val="8"/>
              <w:spacing w:before="0" w:beforeAutospacing="0" w:after="0" w:afterAutospacing="0" w:line="280" w:lineRule="exact"/>
              <w:ind w:firstLine="480"/>
              <w:jc w:val="both"/>
            </w:pPr>
            <w:r>
              <w:rPr>
                <w:rFonts w:hint="eastAsia" w:ascii="宋体" w:hAnsi="宋体" w:eastAsia="宋体"/>
                <w:sz w:val="21"/>
                <w:szCs w:val="21"/>
              </w:rPr>
              <w:t>《医疗机构管理条例》</w:t>
            </w:r>
          </w:p>
          <w:p>
            <w:pPr>
              <w:pStyle w:val="8"/>
              <w:spacing w:before="0" w:beforeAutospacing="0" w:after="0" w:afterAutospacing="0" w:line="280" w:lineRule="exact"/>
              <w:ind w:firstLine="480"/>
              <w:jc w:val="both"/>
            </w:pPr>
            <w:r>
              <w:rPr>
                <w:rFonts w:hint="eastAsia" w:ascii="宋体" w:hAnsi="宋体" w:eastAsia="宋体"/>
                <w:sz w:val="21"/>
                <w:szCs w:val="21"/>
              </w:rPr>
              <w:t>第二十七条 医疗机构不得使用非卫生技术人员从事医疗卫生技术工作。</w:t>
            </w:r>
          </w:p>
          <w:p>
            <w:pPr>
              <w:pStyle w:val="8"/>
              <w:spacing w:before="0" w:beforeAutospacing="0" w:after="0" w:afterAutospacing="0" w:line="280" w:lineRule="exact"/>
              <w:ind w:firstLine="480"/>
              <w:jc w:val="both"/>
            </w:pPr>
            <w:r>
              <w:rPr>
                <w:rFonts w:hint="eastAsia" w:ascii="宋体" w:hAnsi="宋体" w:eastAsia="宋体"/>
                <w:sz w:val="21"/>
                <w:szCs w:val="21"/>
              </w:rPr>
              <w:t>第四十七条 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p>
          <w:p>
            <w:pPr>
              <w:pStyle w:val="8"/>
              <w:spacing w:before="0" w:beforeAutospacing="0" w:after="0" w:afterAutospacing="0" w:line="280" w:lineRule="exact"/>
              <w:ind w:firstLine="480"/>
              <w:jc w:val="both"/>
            </w:pPr>
            <w:r>
              <w:rPr>
                <w:rFonts w:hint="eastAsia" w:ascii="宋体" w:hAnsi="宋体" w:eastAsia="宋体"/>
                <w:sz w:val="21"/>
                <w:szCs w:val="21"/>
              </w:rPr>
              <w:t>《医疗机构管理条例实施细则》</w:t>
            </w:r>
          </w:p>
          <w:p>
            <w:pPr>
              <w:adjustRightInd w:val="0"/>
              <w:spacing w:line="280" w:lineRule="exact"/>
              <w:ind w:firstLine="420" w:firstLineChars="200"/>
              <w:rPr>
                <w:rFonts w:ascii="宋体" w:hAnsi="宋体"/>
                <w:szCs w:val="21"/>
              </w:rPr>
            </w:pPr>
            <w:r>
              <w:rPr>
                <w:rFonts w:hint="eastAsia" w:ascii="宋体" w:hAnsi="宋体"/>
                <w:szCs w:val="21"/>
              </w:rPr>
              <w:t>第八十一条第二款 医疗机构使用卫生技术人员从事本专业以外的诊疗活动的，按使用非卫生技术人员处理。</w:t>
            </w:r>
          </w:p>
        </w:tc>
        <w:tc>
          <w:tcPr>
            <w:tcW w:w="765" w:type="dxa"/>
            <w:vAlign w:val="center"/>
          </w:tcPr>
          <w:p>
            <w:pPr>
              <w:widowControl/>
              <w:spacing w:line="280" w:lineRule="exact"/>
              <w:ind w:left="-105" w:leftChars="-50" w:right="-105" w:rightChars="-50"/>
              <w:jc w:val="center"/>
              <w:rPr>
                <w:rFonts w:ascii="宋体" w:hAnsi="宋体" w:cs="宋体"/>
                <w:kern w:val="0"/>
                <w:szCs w:val="21"/>
              </w:rPr>
            </w:pPr>
            <w:r>
              <w:rPr>
                <w:rFonts w:hint="eastAsia" w:ascii="宋体" w:hAnsi="宋体"/>
                <w:szCs w:val="21"/>
              </w:rPr>
              <w:t>★★★</w:t>
            </w:r>
          </w:p>
        </w:tc>
        <w:tc>
          <w:tcPr>
            <w:tcW w:w="2959" w:type="dxa"/>
            <w:gridSpan w:val="2"/>
            <w:vAlign w:val="center"/>
          </w:tcPr>
          <w:p>
            <w:pPr>
              <w:spacing w:line="280" w:lineRule="exact"/>
              <w:rPr>
                <w:rFonts w:ascii="宋体" w:hAnsi="宋体"/>
                <w:szCs w:val="21"/>
              </w:rPr>
            </w:pPr>
            <w:r>
              <w:rPr>
                <w:rFonts w:hint="eastAsia" w:ascii="宋体" w:hAnsi="宋体"/>
                <w:szCs w:val="21"/>
              </w:rPr>
              <w:t>医疗机构不得使用非卫生技术人员从事医疗卫生技术工作。</w:t>
            </w:r>
          </w:p>
        </w:tc>
        <w:tc>
          <w:tcPr>
            <w:tcW w:w="1576" w:type="dxa"/>
            <w:vAlign w:val="center"/>
          </w:tcPr>
          <w:p>
            <w:pPr>
              <w:overflowPunct w:val="0"/>
              <w:adjustRightInd w:val="0"/>
              <w:spacing w:line="280" w:lineRule="exact"/>
              <w:rPr>
                <w:rFonts w:ascii="宋体" w:hAnsi="宋体"/>
                <w:szCs w:val="21"/>
              </w:rPr>
            </w:pPr>
            <w:r>
              <w:rPr>
                <w:rFonts w:hint="eastAsia" w:ascii="宋体" w:hAnsi="宋体"/>
                <w:szCs w:val="21"/>
              </w:rPr>
              <w:t>卫生监督所医疗卫生监督科：</w:t>
            </w:r>
            <w:r>
              <w:rPr>
                <w:rFonts w:ascii="宋体" w:hAnsi="宋体"/>
                <w:szCs w:val="21"/>
              </w:rPr>
              <w:t xml:space="preserve"> 83158873/82832319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38" w:hRule="atLeast"/>
          <w:jc w:val="center"/>
        </w:trPr>
        <w:tc>
          <w:tcPr>
            <w:tcW w:w="879" w:type="dxa"/>
            <w:vAlign w:val="center"/>
          </w:tcPr>
          <w:p>
            <w:pPr>
              <w:spacing w:line="280" w:lineRule="exact"/>
              <w:jc w:val="center"/>
              <w:rPr>
                <w:szCs w:val="21"/>
              </w:rPr>
            </w:pPr>
            <w:r>
              <w:rPr>
                <w:szCs w:val="21"/>
              </w:rPr>
              <w:t>12</w:t>
            </w:r>
          </w:p>
        </w:tc>
        <w:tc>
          <w:tcPr>
            <w:tcW w:w="1774" w:type="dxa"/>
            <w:vAlign w:val="center"/>
          </w:tcPr>
          <w:p>
            <w:pPr>
              <w:spacing w:line="280" w:lineRule="exact"/>
              <w:rPr>
                <w:rFonts w:ascii="宋体" w:hAnsi="宋体"/>
                <w:szCs w:val="21"/>
              </w:rPr>
            </w:pPr>
            <w:r>
              <w:rPr>
                <w:rFonts w:hint="eastAsia" w:ascii="宋体" w:hAnsi="宋体"/>
                <w:szCs w:val="21"/>
              </w:rPr>
              <w:t>中医诊所应该备案后方可开展执业活动</w:t>
            </w:r>
          </w:p>
        </w:tc>
        <w:tc>
          <w:tcPr>
            <w:tcW w:w="2302" w:type="dxa"/>
            <w:vAlign w:val="center"/>
          </w:tcPr>
          <w:p>
            <w:pPr>
              <w:spacing w:line="280" w:lineRule="exact"/>
              <w:rPr>
                <w:rFonts w:ascii="宋体" w:hAnsi="宋体"/>
                <w:szCs w:val="21"/>
              </w:rPr>
            </w:pPr>
            <w:r>
              <w:rPr>
                <w:rFonts w:hint="eastAsia" w:ascii="宋体" w:hAnsi="宋体"/>
                <w:szCs w:val="21"/>
              </w:rPr>
              <w:t>未备案举办中医诊所</w:t>
            </w:r>
          </w:p>
        </w:tc>
        <w:tc>
          <w:tcPr>
            <w:tcW w:w="4337" w:type="dxa"/>
            <w:vAlign w:val="center"/>
          </w:tcPr>
          <w:p>
            <w:pPr>
              <w:pStyle w:val="8"/>
              <w:spacing w:before="0" w:beforeAutospacing="0" w:after="0" w:afterAutospacing="0" w:line="266" w:lineRule="exact"/>
              <w:ind w:firstLine="480"/>
              <w:jc w:val="both"/>
            </w:pPr>
            <w:r>
              <w:rPr>
                <w:rFonts w:hint="eastAsia" w:ascii="宋体" w:hAnsi="宋体" w:eastAsia="宋体"/>
                <w:sz w:val="21"/>
                <w:szCs w:val="21"/>
              </w:rPr>
              <w:t>《中华人民共和国中医药法》</w:t>
            </w:r>
          </w:p>
          <w:p>
            <w:pPr>
              <w:pStyle w:val="8"/>
              <w:spacing w:before="0" w:beforeAutospacing="0" w:after="0" w:afterAutospacing="0" w:line="266" w:lineRule="exact"/>
              <w:ind w:firstLine="480"/>
              <w:jc w:val="both"/>
            </w:pPr>
            <w:r>
              <w:rPr>
                <w:rFonts w:hint="eastAsia" w:ascii="宋体" w:hAnsi="宋体" w:eastAsia="宋体"/>
                <w:sz w:val="21"/>
                <w:szCs w:val="21"/>
              </w:rPr>
              <w:t>第十四条第二款 举办中医诊所的，将诊所的名称、地址、诊疗范围、人员配备情况等报所在地县级人民政府中医药主管部门备案后即可开展执业活动。中医诊所应当将本诊所的诊疗范围、中医医师的姓名及其执业范围在诊所的明显位置公示，不得超出备案范围开展医疗活动。具体办法由国务院中医药主管部门拟订，报国务院卫生行政部门审核、发布。</w:t>
            </w:r>
          </w:p>
          <w:p>
            <w:pPr>
              <w:adjustRightInd w:val="0"/>
              <w:spacing w:line="280" w:lineRule="exact"/>
              <w:ind w:firstLine="420" w:firstLineChars="200"/>
              <w:rPr>
                <w:rFonts w:ascii="宋体" w:hAnsi="宋体"/>
                <w:szCs w:val="21"/>
              </w:rPr>
            </w:pPr>
            <w:r>
              <w:rPr>
                <w:rFonts w:hint="eastAsia" w:ascii="宋体" w:hAnsi="宋体"/>
                <w:szCs w:val="21"/>
              </w:rPr>
              <w:t>第五十六条第一款　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p>
        </w:tc>
        <w:tc>
          <w:tcPr>
            <w:tcW w:w="765" w:type="dxa"/>
            <w:vAlign w:val="center"/>
          </w:tcPr>
          <w:p>
            <w:pPr>
              <w:widowControl/>
              <w:spacing w:line="280" w:lineRule="exact"/>
              <w:ind w:left="-105" w:leftChars="-50" w:right="-105" w:rightChars="-50"/>
              <w:jc w:val="center"/>
              <w:rPr>
                <w:rFonts w:ascii="宋体" w:hAnsi="宋体" w:cs="宋体"/>
                <w:kern w:val="0"/>
                <w:szCs w:val="21"/>
              </w:rPr>
            </w:pPr>
            <w:r>
              <w:rPr>
                <w:rFonts w:hint="eastAsia" w:ascii="宋体" w:hAnsi="宋体"/>
                <w:szCs w:val="21"/>
              </w:rPr>
              <w:t>★★</w:t>
            </w:r>
          </w:p>
        </w:tc>
        <w:tc>
          <w:tcPr>
            <w:tcW w:w="2959" w:type="dxa"/>
            <w:gridSpan w:val="2"/>
            <w:vAlign w:val="center"/>
          </w:tcPr>
          <w:p>
            <w:pPr>
              <w:spacing w:line="280" w:lineRule="exact"/>
              <w:rPr>
                <w:rFonts w:ascii="宋体" w:hAnsi="宋体"/>
                <w:szCs w:val="21"/>
              </w:rPr>
            </w:pPr>
            <w:r>
              <w:rPr>
                <w:rFonts w:hint="eastAsia" w:ascii="宋体" w:hAnsi="宋体"/>
                <w:szCs w:val="21"/>
              </w:rPr>
              <w:t>中医诊所应当备案而未备案不得开展执业活动</w:t>
            </w:r>
          </w:p>
        </w:tc>
        <w:tc>
          <w:tcPr>
            <w:tcW w:w="1576" w:type="dxa"/>
            <w:vAlign w:val="center"/>
          </w:tcPr>
          <w:p>
            <w:pPr>
              <w:overflowPunct w:val="0"/>
              <w:adjustRightInd w:val="0"/>
              <w:spacing w:line="280" w:lineRule="exact"/>
              <w:rPr>
                <w:rFonts w:ascii="宋体" w:hAnsi="宋体"/>
                <w:szCs w:val="21"/>
              </w:rPr>
            </w:pPr>
            <w:r>
              <w:rPr>
                <w:rFonts w:hint="eastAsia" w:ascii="宋体" w:hAnsi="宋体"/>
                <w:szCs w:val="21"/>
              </w:rPr>
              <w:t>卫生监督所医疗卫生监督科：</w:t>
            </w:r>
            <w:r>
              <w:rPr>
                <w:rFonts w:ascii="宋体" w:hAnsi="宋体"/>
                <w:szCs w:val="21"/>
              </w:rPr>
              <w:t xml:space="preserve"> 83158873/82832319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38" w:hRule="atLeast"/>
          <w:jc w:val="center"/>
        </w:trPr>
        <w:tc>
          <w:tcPr>
            <w:tcW w:w="879" w:type="dxa"/>
            <w:vAlign w:val="center"/>
          </w:tcPr>
          <w:p>
            <w:pPr>
              <w:spacing w:line="280" w:lineRule="exact"/>
              <w:jc w:val="center"/>
              <w:rPr>
                <w:szCs w:val="21"/>
              </w:rPr>
            </w:pPr>
            <w:r>
              <w:rPr>
                <w:szCs w:val="21"/>
              </w:rPr>
              <w:t>13</w:t>
            </w:r>
          </w:p>
        </w:tc>
        <w:tc>
          <w:tcPr>
            <w:tcW w:w="1774" w:type="dxa"/>
            <w:vAlign w:val="center"/>
          </w:tcPr>
          <w:p>
            <w:pPr>
              <w:spacing w:line="280" w:lineRule="exact"/>
              <w:rPr>
                <w:rFonts w:ascii="宋体" w:hAnsi="宋体"/>
                <w:szCs w:val="21"/>
              </w:rPr>
            </w:pPr>
            <w:r>
              <w:rPr>
                <w:rFonts w:hint="eastAsia" w:ascii="宋体" w:hAnsi="宋体"/>
                <w:szCs w:val="21"/>
              </w:rPr>
              <w:t>医疗机构及其医务人员应当按照国务院卫生主管部门的规定，填写并妥善保管病历资料</w:t>
            </w:r>
          </w:p>
        </w:tc>
        <w:tc>
          <w:tcPr>
            <w:tcW w:w="2302" w:type="dxa"/>
            <w:vAlign w:val="center"/>
          </w:tcPr>
          <w:p>
            <w:pPr>
              <w:spacing w:line="280" w:lineRule="exact"/>
              <w:rPr>
                <w:rFonts w:ascii="宋体" w:hAnsi="宋体"/>
                <w:szCs w:val="21"/>
              </w:rPr>
            </w:pPr>
            <w:r>
              <w:rPr>
                <w:rFonts w:hint="eastAsia" w:ascii="宋体" w:hAnsi="宋体"/>
                <w:szCs w:val="21"/>
              </w:rPr>
              <w:t>医疗机构及其医务人员未按规定填写、保管病历资料的</w:t>
            </w:r>
          </w:p>
        </w:tc>
        <w:tc>
          <w:tcPr>
            <w:tcW w:w="4337" w:type="dxa"/>
            <w:vAlign w:val="center"/>
          </w:tcPr>
          <w:p>
            <w:pPr>
              <w:pStyle w:val="8"/>
              <w:spacing w:before="0" w:beforeAutospacing="0" w:after="0" w:afterAutospacing="0" w:line="266" w:lineRule="exact"/>
              <w:ind w:firstLine="480"/>
              <w:jc w:val="both"/>
            </w:pPr>
            <w:r>
              <w:rPr>
                <w:rFonts w:hint="eastAsia" w:ascii="宋体" w:hAnsi="宋体" w:eastAsia="宋体"/>
                <w:sz w:val="21"/>
                <w:szCs w:val="21"/>
              </w:rPr>
              <w:t>《病历书写基本规范》</w:t>
            </w:r>
          </w:p>
          <w:p>
            <w:pPr>
              <w:pStyle w:val="8"/>
              <w:spacing w:before="0" w:beforeAutospacing="0" w:after="0" w:afterAutospacing="0" w:line="266" w:lineRule="exact"/>
              <w:ind w:firstLine="480"/>
              <w:jc w:val="both"/>
            </w:pPr>
            <w:r>
              <w:rPr>
                <w:rFonts w:hint="eastAsia" w:ascii="宋体" w:hAnsi="宋体" w:eastAsia="宋体"/>
                <w:sz w:val="21"/>
                <w:szCs w:val="21"/>
              </w:rPr>
              <w:t>第十三条第二款 初诊病历记录书写内容应当包括就诊时间、科别、主诉、现病史、既往史，阳性体征、必要的阴性体征和辅助检查结果，诊断及治疗意见和医师签名等。</w:t>
            </w:r>
          </w:p>
          <w:p>
            <w:pPr>
              <w:pStyle w:val="8"/>
              <w:spacing w:before="0" w:beforeAutospacing="0" w:after="0" w:afterAutospacing="0" w:line="266" w:lineRule="exact"/>
              <w:ind w:firstLine="480"/>
              <w:jc w:val="both"/>
            </w:pPr>
            <w:r>
              <w:rPr>
                <w:rFonts w:hint="eastAsia" w:ascii="宋体" w:hAnsi="宋体" w:eastAsia="宋体"/>
                <w:sz w:val="21"/>
                <w:szCs w:val="21"/>
              </w:rPr>
              <w:t>《医疗纠纷预防和处理条例》</w:t>
            </w:r>
          </w:p>
          <w:p>
            <w:pPr>
              <w:pStyle w:val="8"/>
              <w:spacing w:before="0" w:beforeAutospacing="0" w:after="0" w:afterAutospacing="0" w:line="266" w:lineRule="exact"/>
              <w:ind w:firstLine="480"/>
              <w:jc w:val="both"/>
            </w:pPr>
            <w:r>
              <w:rPr>
                <w:rFonts w:hint="eastAsia" w:ascii="宋体" w:hAnsi="宋体" w:eastAsia="宋体"/>
                <w:sz w:val="21"/>
                <w:szCs w:val="21"/>
              </w:rPr>
              <w:t>第十五条第一款 医疗机构及其医务人员应当按照国务院卫生主管部门的规定，填写并妥善保管病历资料。</w:t>
            </w:r>
          </w:p>
          <w:p>
            <w:pPr>
              <w:adjustRightInd w:val="0"/>
              <w:spacing w:line="280" w:lineRule="exact"/>
              <w:ind w:firstLine="420" w:firstLineChars="200"/>
              <w:rPr>
                <w:rFonts w:ascii="宋体" w:hAnsi="宋体"/>
                <w:szCs w:val="21"/>
              </w:rPr>
            </w:pPr>
            <w:r>
              <w:rPr>
                <w:rFonts w:hint="eastAsia" w:ascii="宋体" w:hAnsi="宋体"/>
                <w:szCs w:val="21"/>
              </w:rPr>
              <w:t>第四十七条第（四）项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四）未按规定填写、保管病历资料，或者未按规定补记抢救病历；</w:t>
            </w:r>
          </w:p>
        </w:tc>
        <w:tc>
          <w:tcPr>
            <w:tcW w:w="806" w:type="dxa"/>
            <w:gridSpan w:val="2"/>
            <w:vAlign w:val="center"/>
          </w:tcPr>
          <w:p>
            <w:pPr>
              <w:widowControl/>
              <w:spacing w:line="280" w:lineRule="exact"/>
              <w:ind w:left="-105" w:leftChars="-50" w:right="-105" w:rightChars="-50"/>
              <w:jc w:val="center"/>
              <w:rPr>
                <w:rFonts w:ascii="宋体" w:hAnsi="宋体" w:cs="宋体"/>
                <w:kern w:val="0"/>
                <w:szCs w:val="21"/>
              </w:rPr>
            </w:pPr>
            <w:r>
              <w:rPr>
                <w:rFonts w:hint="eastAsia" w:ascii="宋体" w:hAnsi="宋体"/>
                <w:szCs w:val="21"/>
              </w:rPr>
              <w:t>★★</w:t>
            </w:r>
          </w:p>
        </w:tc>
        <w:tc>
          <w:tcPr>
            <w:tcW w:w="2918" w:type="dxa"/>
            <w:vAlign w:val="center"/>
          </w:tcPr>
          <w:p>
            <w:pPr>
              <w:spacing w:line="280" w:lineRule="exact"/>
              <w:rPr>
                <w:rFonts w:ascii="宋体" w:hAnsi="宋体"/>
                <w:szCs w:val="21"/>
              </w:rPr>
            </w:pPr>
            <w:r>
              <w:rPr>
                <w:rFonts w:hint="eastAsia" w:ascii="宋体" w:hAnsi="宋体"/>
                <w:szCs w:val="21"/>
              </w:rPr>
              <w:t>医疗机构及其医务人员应当按照《病历书写基本规范》的规定，填写并妥善保管病历资料</w:t>
            </w:r>
          </w:p>
        </w:tc>
        <w:tc>
          <w:tcPr>
            <w:tcW w:w="1576" w:type="dxa"/>
            <w:vAlign w:val="center"/>
          </w:tcPr>
          <w:p>
            <w:pPr>
              <w:overflowPunct w:val="0"/>
              <w:adjustRightInd w:val="0"/>
              <w:spacing w:line="280" w:lineRule="exact"/>
              <w:rPr>
                <w:rFonts w:ascii="宋体" w:hAnsi="宋体"/>
                <w:szCs w:val="21"/>
              </w:rPr>
            </w:pPr>
            <w:r>
              <w:rPr>
                <w:rFonts w:hint="eastAsia" w:ascii="宋体" w:hAnsi="宋体"/>
                <w:szCs w:val="21"/>
              </w:rPr>
              <w:t>卫生监督所医疗卫生监督科：</w:t>
            </w:r>
            <w:r>
              <w:rPr>
                <w:rFonts w:ascii="宋体" w:hAnsi="宋体"/>
                <w:szCs w:val="21"/>
              </w:rPr>
              <w:t xml:space="preserve"> 83158873/82832319</w:t>
            </w:r>
          </w:p>
        </w:tc>
      </w:tr>
    </w:tbl>
    <w:p>
      <w:pPr>
        <w:overflowPunct w:val="0"/>
        <w:autoSpaceDE w:val="0"/>
        <w:autoSpaceDN w:val="0"/>
        <w:adjustRightInd w:val="0"/>
        <w:sectPr>
          <w:pgSz w:w="16838" w:h="11906" w:orient="landscape"/>
          <w:pgMar w:top="1800" w:right="1440" w:bottom="1800" w:left="1440" w:header="851" w:footer="992" w:gutter="0"/>
          <w:cols w:space="425" w:num="1"/>
          <w:docGrid w:type="lines" w:linePitch="312" w:charSpace="0"/>
        </w:sectPr>
      </w:pPr>
      <w:r>
        <w:rPr>
          <w:rFonts w:hint="eastAsia" w:eastAsia="方正楷体_GBK"/>
          <w:szCs w:val="21"/>
        </w:rPr>
        <w:t>备注：风险等级，发生频率较高的为★★★，发生频率一般的为★★，发生频率较少的为★。</w:t>
      </w:r>
    </w:p>
    <w:p>
      <w:pPr>
        <w:overflowPunct w:val="0"/>
        <w:autoSpaceDE w:val="0"/>
        <w:autoSpaceDN w:val="0"/>
        <w:adjustRightInd w:val="0"/>
        <w:jc w:val="center"/>
        <w:rPr>
          <w:rFonts w:hint="eastAsia" w:ascii="方正小标宋_GBK" w:hAnsi="华文中宋" w:eastAsia="方正小标宋_GBK"/>
          <w:kern w:val="0"/>
          <w:sz w:val="36"/>
          <w:szCs w:val="36"/>
          <w:lang w:eastAsia="zh-CN"/>
        </w:rPr>
      </w:pPr>
      <w:r>
        <w:rPr>
          <w:rFonts w:hint="eastAsia" w:ascii="方正小标宋_GBK" w:hAnsi="华文中宋" w:eastAsia="方正小标宋_GBK"/>
          <w:kern w:val="0"/>
          <w:sz w:val="36"/>
          <w:szCs w:val="36"/>
          <w:lang w:eastAsia="zh-CN"/>
        </w:rPr>
        <w:t>梁溪区企业行政合规指导清单（第一批）</w:t>
      </w:r>
    </w:p>
    <w:p>
      <w:pPr>
        <w:overflowPunct w:val="0"/>
        <w:autoSpaceDE w:val="0"/>
        <w:autoSpaceDN w:val="0"/>
        <w:adjustRightInd w:val="0"/>
        <w:jc w:val="center"/>
        <w:rPr>
          <w:rFonts w:ascii="方正小标宋_GBK" w:hAnsi="华文中宋" w:eastAsia="方正小标宋_GBK"/>
          <w:kern w:val="0"/>
          <w:sz w:val="36"/>
          <w:szCs w:val="36"/>
        </w:rPr>
      </w:pPr>
      <w:r>
        <w:rPr>
          <w:rFonts w:hint="eastAsia" w:ascii="方正小标宋_GBK" w:hAnsi="华文中宋" w:eastAsia="方正小标宋_GBK"/>
          <w:kern w:val="0"/>
          <w:sz w:val="36"/>
          <w:szCs w:val="36"/>
        </w:rPr>
        <w:t>（区应急管理局）</w:t>
      </w:r>
    </w:p>
    <w:tbl>
      <w:tblPr>
        <w:tblStyle w:val="6"/>
        <w:tblW w:w="14740" w:type="dxa"/>
        <w:jc w:val="center"/>
        <w:tblLayout w:type="autofit"/>
        <w:tblCellMar>
          <w:top w:w="0" w:type="dxa"/>
          <w:left w:w="108" w:type="dxa"/>
          <w:bottom w:w="0" w:type="dxa"/>
          <w:right w:w="108" w:type="dxa"/>
        </w:tblCellMar>
      </w:tblPr>
      <w:tblGrid>
        <w:gridCol w:w="876"/>
        <w:gridCol w:w="1773"/>
        <w:gridCol w:w="2300"/>
        <w:gridCol w:w="4337"/>
        <w:gridCol w:w="920"/>
        <w:gridCol w:w="2957"/>
        <w:gridCol w:w="1577"/>
      </w:tblGrid>
      <w:tr>
        <w:tblPrEx>
          <w:tblCellMar>
            <w:top w:w="0" w:type="dxa"/>
            <w:left w:w="108" w:type="dxa"/>
            <w:bottom w:w="0" w:type="dxa"/>
            <w:right w:w="108" w:type="dxa"/>
          </w:tblCellMar>
        </w:tblPrEx>
        <w:trPr>
          <w:trHeight w:val="763" w:hRule="atLeast"/>
          <w:tblHeader/>
          <w:jc w:val="center"/>
        </w:trPr>
        <w:tc>
          <w:tcPr>
            <w:tcW w:w="876"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序号</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行政合规</w:t>
            </w:r>
          </w:p>
          <w:p>
            <w:pPr>
              <w:spacing w:line="280" w:lineRule="exact"/>
              <w:jc w:val="center"/>
              <w:rPr>
                <w:rFonts w:ascii="方正黑体_GBK" w:hAnsi="黑体" w:eastAsia="方正黑体_GBK"/>
                <w:szCs w:val="21"/>
              </w:rPr>
            </w:pPr>
            <w:r>
              <w:rPr>
                <w:rFonts w:hint="eastAsia" w:ascii="方正黑体_GBK" w:hAnsi="黑体" w:eastAsia="方正黑体_GBK"/>
                <w:szCs w:val="21"/>
              </w:rPr>
              <w:t>事项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常见违法行为表现</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法律依据及违法责任</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风险等级</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合规建议</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指导部门（科室）</w:t>
            </w:r>
          </w:p>
        </w:tc>
      </w:tr>
      <w:tr>
        <w:tblPrEx>
          <w:tblCellMar>
            <w:top w:w="0" w:type="dxa"/>
            <w:left w:w="108" w:type="dxa"/>
            <w:bottom w:w="0" w:type="dxa"/>
            <w:right w:w="108" w:type="dxa"/>
          </w:tblCellMar>
        </w:tblPrEx>
        <w:trPr>
          <w:trHeight w:val="23"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生产经营单位应将事故隐患排查治理情况如实记录并向从业人员通报</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1.未记录、虚假记录事故隐患排查治理情况；</w:t>
            </w:r>
          </w:p>
          <w:p>
            <w:pPr>
              <w:spacing w:line="280" w:lineRule="exact"/>
              <w:jc w:val="center"/>
              <w:rPr>
                <w:szCs w:val="21"/>
              </w:rPr>
            </w:pPr>
            <w:r>
              <w:rPr>
                <w:rFonts w:hint="eastAsia"/>
                <w:szCs w:val="21"/>
              </w:rPr>
              <w:t>2.隐患排查治理情况未通过职工大会或者职工代表大会、信息公示栏等方式向从业人员通报。</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《中华人民共和国安全生产法》</w:t>
            </w:r>
          </w:p>
          <w:p>
            <w:pPr>
              <w:spacing w:line="280" w:lineRule="exact"/>
              <w:jc w:val="center"/>
              <w:rPr>
                <w:szCs w:val="21"/>
              </w:rPr>
            </w:pPr>
            <w:r>
              <w:rPr>
                <w:rFonts w:hint="eastAsia"/>
                <w:szCs w:val="21"/>
              </w:rPr>
              <w:t>第四十一条第二款 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pPr>
              <w:spacing w:line="280" w:lineRule="exact"/>
              <w:jc w:val="center"/>
              <w:rPr>
                <w:szCs w:val="21"/>
              </w:rPr>
            </w:pPr>
            <w:r>
              <w:rPr>
                <w:rFonts w:hint="eastAsia"/>
                <w:szCs w:val="21"/>
              </w:rPr>
              <w:t>《中华人民共和国安全生产法》</w:t>
            </w:r>
          </w:p>
          <w:p>
            <w:pPr>
              <w:spacing w:line="280" w:lineRule="exact"/>
              <w:jc w:val="center"/>
              <w:rPr>
                <w:szCs w:val="21"/>
              </w:rPr>
            </w:pPr>
            <w:r>
              <w:rPr>
                <w:rFonts w:hint="eastAsia"/>
                <w:szCs w:val="21"/>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pPr>
              <w:spacing w:line="280" w:lineRule="exact"/>
              <w:jc w:val="center"/>
              <w:rPr>
                <w:szCs w:val="21"/>
              </w:rPr>
            </w:pPr>
            <w:r>
              <w:rPr>
                <w:rFonts w:hint="eastAsia"/>
                <w:szCs w:val="21"/>
              </w:rPr>
              <w:t>（五）未将事故隐患排查治理情况如实记录或者未向从业人员通报的。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生产经营单位应当定期组织安全生产管理人员、工程技术人员和其他相关人员排查本单位的事故隐患。对排查出的事故隐患，应当按照事故隐患的等级进行登记，建立事故隐患信息档案，并按照职责分工实施监控治理；</w:t>
            </w:r>
          </w:p>
          <w:p>
            <w:pPr>
              <w:spacing w:line="280" w:lineRule="exact"/>
              <w:jc w:val="center"/>
              <w:rPr>
                <w:szCs w:val="21"/>
              </w:rPr>
            </w:pPr>
            <w:r>
              <w:rPr>
                <w:rFonts w:hint="eastAsia"/>
                <w:szCs w:val="21"/>
              </w:rPr>
              <w:t>2.事故隐患排查治理情况应当通过职工大会或者职工代表大会、信息公示栏等方式向从业人员通报（应当要有相关台账记录）。其中重大事故隐患排查治理情况应当及时向负有安全生产监督管理职责的部门和职工大会或者职工代表大会报告；</w:t>
            </w:r>
          </w:p>
          <w:p>
            <w:pPr>
              <w:spacing w:line="280" w:lineRule="exact"/>
              <w:jc w:val="center"/>
              <w:rPr>
                <w:szCs w:val="21"/>
              </w:rPr>
            </w:pPr>
            <w:r>
              <w:rPr>
                <w:rFonts w:hint="eastAsia"/>
                <w:szCs w:val="21"/>
              </w:rPr>
              <w:t>3.粉尘涉爆企业应当根据《粉尘防爆安全规程》等有关国家标准或者行业标准，结合粉尘爆炸风险管控措施，建立事故隐患排查清单，明确和细化排查事项、具体内容、排查周期及责任人员，及时组织开展事故隐患排查治理；</w:t>
            </w:r>
          </w:p>
          <w:p>
            <w:pPr>
              <w:spacing w:line="280" w:lineRule="exact"/>
              <w:jc w:val="center"/>
              <w:rPr>
                <w:szCs w:val="21"/>
              </w:rPr>
            </w:pPr>
            <w:r>
              <w:rPr>
                <w:rFonts w:hint="eastAsia"/>
                <w:szCs w:val="21"/>
              </w:rPr>
              <w:t>4.做好相关台账备查。</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危化科85026373、</w:t>
            </w:r>
          </w:p>
          <w:p>
            <w:pPr>
              <w:spacing w:line="280" w:lineRule="exact"/>
              <w:jc w:val="center"/>
              <w:rPr>
                <w:szCs w:val="21"/>
              </w:rPr>
            </w:pPr>
            <w:r>
              <w:rPr>
                <w:rFonts w:hint="eastAsia"/>
                <w:szCs w:val="21"/>
              </w:rPr>
              <w:t>基础科85024782、</w:t>
            </w:r>
          </w:p>
          <w:p>
            <w:pPr>
              <w:spacing w:line="280" w:lineRule="exact"/>
              <w:jc w:val="center"/>
              <w:rPr>
                <w:szCs w:val="21"/>
              </w:rPr>
            </w:pPr>
            <w:r>
              <w:rPr>
                <w:rFonts w:hint="eastAsia"/>
                <w:szCs w:val="21"/>
              </w:rPr>
              <w:t>综合行政执法大队</w:t>
            </w:r>
          </w:p>
          <w:p>
            <w:pPr>
              <w:spacing w:line="280" w:lineRule="exact"/>
              <w:jc w:val="center"/>
              <w:rPr>
                <w:szCs w:val="21"/>
              </w:rPr>
            </w:pPr>
            <w:r>
              <w:rPr>
                <w:rFonts w:hint="eastAsia"/>
                <w:szCs w:val="21"/>
              </w:rPr>
              <w:t>85020858</w:t>
            </w:r>
          </w:p>
        </w:tc>
      </w:tr>
      <w:tr>
        <w:tblPrEx>
          <w:tblCellMar>
            <w:top w:w="0" w:type="dxa"/>
            <w:left w:w="108" w:type="dxa"/>
            <w:bottom w:w="0" w:type="dxa"/>
            <w:right w:w="108" w:type="dxa"/>
          </w:tblCellMar>
        </w:tblPrEx>
        <w:trPr>
          <w:trHeight w:val="23"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生产经营单位应在有较大危险因素的生产经营场所和有关设施、设备上设置明显的安全警示标志</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生产经营单位未在有较大危险因素的生产经营场所和有关设施、设备上设置明显的安示警示标志。</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《中华人民共和国安全生产法》</w:t>
            </w:r>
          </w:p>
          <w:p>
            <w:pPr>
              <w:spacing w:line="280" w:lineRule="exact"/>
              <w:jc w:val="center"/>
              <w:rPr>
                <w:szCs w:val="21"/>
              </w:rPr>
            </w:pPr>
            <w:r>
              <w:rPr>
                <w:rFonts w:hint="eastAsia"/>
                <w:szCs w:val="21"/>
              </w:rPr>
              <w:t>第三十五条 生产经营单位应当在有较大危险因素的生产经营场所和有关设施、设备上，设置明显的安全警示标志。</w:t>
            </w:r>
          </w:p>
          <w:p>
            <w:pPr>
              <w:spacing w:line="280" w:lineRule="exact"/>
              <w:jc w:val="center"/>
              <w:rPr>
                <w:szCs w:val="21"/>
              </w:rPr>
            </w:pPr>
            <w:r>
              <w:rPr>
                <w:rFonts w:hint="eastAsia"/>
                <w:szCs w:val="21"/>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spacing w:line="280" w:lineRule="exact"/>
              <w:jc w:val="center"/>
              <w:rPr>
                <w:szCs w:val="21"/>
              </w:rPr>
            </w:pPr>
            <w:r>
              <w:rPr>
                <w:rFonts w:hint="eastAsia"/>
                <w:szCs w:val="21"/>
              </w:rPr>
              <w:t>未在有较大危险因素的生产经营场所和有关设施、设备上设置明显的安全警示标志的。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1.有较大危险因素的生产经营场所和有关设施、设备，是指能对人造成伤害或者对物造成突发性损害的生产经营场所和有关设施、设备；</w:t>
            </w:r>
          </w:p>
          <w:p>
            <w:pPr>
              <w:spacing w:line="280" w:lineRule="exact"/>
              <w:jc w:val="center"/>
              <w:rPr>
                <w:szCs w:val="21"/>
              </w:rPr>
            </w:pPr>
            <w:r>
              <w:rPr>
                <w:rFonts w:hint="eastAsia"/>
                <w:szCs w:val="21"/>
              </w:rPr>
              <w:t>2.生产、储存、使用危险化学品的单位，应当在其作业场所和安全设施、设备上设置明显的安全警示标志；</w:t>
            </w:r>
          </w:p>
          <w:p>
            <w:pPr>
              <w:spacing w:line="280" w:lineRule="exact"/>
              <w:jc w:val="center"/>
              <w:rPr>
                <w:szCs w:val="21"/>
              </w:rPr>
            </w:pPr>
            <w:r>
              <w:rPr>
                <w:rFonts w:hint="eastAsia"/>
                <w:szCs w:val="21"/>
              </w:rPr>
              <w:t>3.工贸企业有限空间作业应当设置明显的安全警示标志和警示说明；</w:t>
            </w:r>
          </w:p>
          <w:p>
            <w:pPr>
              <w:spacing w:line="280" w:lineRule="exact"/>
              <w:jc w:val="center"/>
              <w:rPr>
                <w:szCs w:val="21"/>
              </w:rPr>
            </w:pPr>
            <w:r>
              <w:rPr>
                <w:rFonts w:hint="eastAsia"/>
                <w:szCs w:val="21"/>
              </w:rPr>
              <w:t>4.粉尘涉爆企业应当在粉尘爆炸较大危险因素的工艺、场所、设施设备和岗位，设置安全警示标志；</w:t>
            </w:r>
          </w:p>
          <w:p>
            <w:pPr>
              <w:spacing w:line="280" w:lineRule="exact"/>
              <w:jc w:val="center"/>
              <w:rPr>
                <w:szCs w:val="21"/>
              </w:rPr>
            </w:pPr>
            <w:r>
              <w:rPr>
                <w:rFonts w:hint="eastAsia"/>
                <w:szCs w:val="21"/>
              </w:rPr>
              <w:t>5.管道单位应对危险化学品管道设置明显的安全警示标志；</w:t>
            </w:r>
          </w:p>
          <w:p>
            <w:pPr>
              <w:spacing w:line="280" w:lineRule="exact"/>
              <w:jc w:val="center"/>
              <w:rPr>
                <w:szCs w:val="21"/>
              </w:rPr>
            </w:pPr>
            <w:r>
              <w:rPr>
                <w:rFonts w:hint="eastAsia"/>
                <w:szCs w:val="21"/>
              </w:rPr>
              <w:t>6.安全警示标志的设置应当参照《安全标志及其使用导则》有关要求。</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危化科85026373、</w:t>
            </w:r>
          </w:p>
          <w:p>
            <w:pPr>
              <w:spacing w:line="280" w:lineRule="exact"/>
              <w:jc w:val="center"/>
              <w:rPr>
                <w:szCs w:val="21"/>
              </w:rPr>
            </w:pPr>
            <w:r>
              <w:rPr>
                <w:rFonts w:hint="eastAsia"/>
                <w:szCs w:val="21"/>
              </w:rPr>
              <w:t>基础科85024782、</w:t>
            </w:r>
          </w:p>
          <w:p>
            <w:pPr>
              <w:spacing w:line="280" w:lineRule="exact"/>
              <w:jc w:val="center"/>
              <w:rPr>
                <w:szCs w:val="21"/>
              </w:rPr>
            </w:pPr>
            <w:r>
              <w:rPr>
                <w:rFonts w:hint="eastAsia"/>
                <w:szCs w:val="21"/>
              </w:rPr>
              <w:t>综合行政执法大队</w:t>
            </w:r>
          </w:p>
          <w:p>
            <w:pPr>
              <w:spacing w:line="280" w:lineRule="exact"/>
              <w:jc w:val="center"/>
              <w:rPr>
                <w:szCs w:val="21"/>
              </w:rPr>
            </w:pPr>
            <w:r>
              <w:rPr>
                <w:rFonts w:hint="eastAsia"/>
                <w:szCs w:val="21"/>
              </w:rPr>
              <w:t>85020858</w:t>
            </w:r>
          </w:p>
        </w:tc>
      </w:tr>
      <w:tr>
        <w:tblPrEx>
          <w:tblCellMar>
            <w:top w:w="0" w:type="dxa"/>
            <w:left w:w="108" w:type="dxa"/>
            <w:bottom w:w="0" w:type="dxa"/>
            <w:right w:w="108" w:type="dxa"/>
          </w:tblCellMar>
        </w:tblPrEx>
        <w:trPr>
          <w:trHeight w:val="2305"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3</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生产经营单位应如实记录安全生产教育和培训情况</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1.未记录或未完整记录安全生产教育和培训情况；</w:t>
            </w:r>
          </w:p>
          <w:p>
            <w:pPr>
              <w:spacing w:line="280" w:lineRule="exact"/>
              <w:jc w:val="center"/>
              <w:rPr>
                <w:szCs w:val="21"/>
              </w:rPr>
            </w:pPr>
            <w:r>
              <w:rPr>
                <w:rFonts w:hint="eastAsia"/>
                <w:szCs w:val="21"/>
              </w:rPr>
              <w:t>2.虚假记录安全生产教育和培训情况。</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《中华人民共和国安全生产法》</w:t>
            </w:r>
          </w:p>
          <w:p>
            <w:pPr>
              <w:spacing w:line="280" w:lineRule="exact"/>
              <w:jc w:val="center"/>
              <w:rPr>
                <w:szCs w:val="21"/>
              </w:rPr>
            </w:pPr>
            <w:r>
              <w:rPr>
                <w:rFonts w:hint="eastAsia"/>
                <w:szCs w:val="21"/>
              </w:rPr>
              <w:t>第二十八条第四款 生产经营单位应当建立安全生产教育和培训档案，如实记录安全生产教育和培训的时间、内容、参加人员以及考核结果等情况。</w:t>
            </w:r>
          </w:p>
          <w:p>
            <w:pPr>
              <w:spacing w:line="280" w:lineRule="exact"/>
              <w:jc w:val="center"/>
              <w:rPr>
                <w:szCs w:val="21"/>
              </w:rPr>
            </w:pPr>
            <w:r>
              <w:rPr>
                <w:rFonts w:hint="eastAsia"/>
                <w:szCs w:val="21"/>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pPr>
              <w:spacing w:line="280" w:lineRule="exact"/>
              <w:jc w:val="center"/>
              <w:rPr>
                <w:szCs w:val="21"/>
              </w:rPr>
            </w:pPr>
            <w:r>
              <w:rPr>
                <w:rFonts w:hint="eastAsia"/>
                <w:szCs w:val="21"/>
              </w:rPr>
              <w:t>（四）未如实记录安全生产教育和培训情况的。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生产经营单位应当建立健全从业人员安全生产教育和培训档案，由生产经营单位的安全生产管理机构或者安全生产管理人员详细、准确记录培训的时间、内容、参加人员以及考核结果等情况，培训记录应当要有被培训人员签字。培训档案不得擅自修改和伪造。</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危化科85026373、</w:t>
            </w:r>
          </w:p>
          <w:p>
            <w:pPr>
              <w:spacing w:line="280" w:lineRule="exact"/>
              <w:jc w:val="center"/>
              <w:rPr>
                <w:szCs w:val="21"/>
              </w:rPr>
            </w:pPr>
            <w:r>
              <w:rPr>
                <w:rFonts w:hint="eastAsia"/>
                <w:szCs w:val="21"/>
              </w:rPr>
              <w:t>基础科85024782、</w:t>
            </w:r>
          </w:p>
          <w:p>
            <w:pPr>
              <w:spacing w:line="280" w:lineRule="exact"/>
              <w:jc w:val="center"/>
              <w:rPr>
                <w:szCs w:val="21"/>
              </w:rPr>
            </w:pPr>
            <w:r>
              <w:rPr>
                <w:rFonts w:hint="eastAsia"/>
                <w:szCs w:val="21"/>
              </w:rPr>
              <w:t>综合行政执法大队</w:t>
            </w:r>
          </w:p>
          <w:p>
            <w:pPr>
              <w:spacing w:line="280" w:lineRule="exact"/>
              <w:jc w:val="center"/>
              <w:rPr>
                <w:szCs w:val="21"/>
              </w:rPr>
            </w:pPr>
            <w:r>
              <w:rPr>
                <w:rFonts w:hint="eastAsia"/>
                <w:szCs w:val="21"/>
              </w:rPr>
              <w:t>85020858</w:t>
            </w:r>
          </w:p>
        </w:tc>
      </w:tr>
      <w:tr>
        <w:tblPrEx>
          <w:tblCellMar>
            <w:top w:w="0" w:type="dxa"/>
            <w:left w:w="108" w:type="dxa"/>
            <w:bottom w:w="0" w:type="dxa"/>
            <w:right w:w="108" w:type="dxa"/>
          </w:tblCellMar>
        </w:tblPrEx>
        <w:trPr>
          <w:trHeight w:val="3359"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4</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生产经营单位应对安全设备进行经常性维护、保养和定期检测</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1.生产经营单位未按照国家标准、行业标准或者国家有关规定对安全设备进行经常性维护、保养；</w:t>
            </w:r>
          </w:p>
          <w:p>
            <w:pPr>
              <w:spacing w:line="280" w:lineRule="exact"/>
              <w:jc w:val="center"/>
              <w:rPr>
                <w:szCs w:val="21"/>
              </w:rPr>
            </w:pPr>
            <w:r>
              <w:rPr>
                <w:rFonts w:hint="eastAsia"/>
                <w:szCs w:val="21"/>
              </w:rPr>
              <w:t>2.生产经营单位未按照国家标准、行业标准或者国家有关规定对安全设备进行定期检测。</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《中华人民共和国安全生产法》</w:t>
            </w:r>
          </w:p>
          <w:p>
            <w:pPr>
              <w:spacing w:line="280" w:lineRule="exact"/>
              <w:jc w:val="center"/>
              <w:rPr>
                <w:szCs w:val="21"/>
              </w:rPr>
            </w:pPr>
            <w:r>
              <w:rPr>
                <w:rFonts w:hint="eastAsia"/>
                <w:szCs w:val="21"/>
              </w:rPr>
              <w:t>第三十六条第二款 生产经营单位必须对安全设备进行经常性维护、保养，并定期检测，保证正常运转。维护、保养、检测应当作好记录，并由有关人员签字。</w:t>
            </w:r>
          </w:p>
          <w:p>
            <w:pPr>
              <w:spacing w:line="280" w:lineRule="exact"/>
              <w:jc w:val="center"/>
              <w:rPr>
                <w:szCs w:val="21"/>
              </w:rPr>
            </w:pPr>
            <w:r>
              <w:rPr>
                <w:rFonts w:hint="eastAsia"/>
                <w:szCs w:val="21"/>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spacing w:line="280" w:lineRule="exact"/>
              <w:jc w:val="center"/>
              <w:rPr>
                <w:szCs w:val="21"/>
              </w:rPr>
            </w:pPr>
            <w:r>
              <w:rPr>
                <w:rFonts w:hint="eastAsia"/>
                <w:szCs w:val="21"/>
              </w:rPr>
              <w:t>（三）未对安全设备进行经常性维护、保养和定期检测的。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1.生产经营单位必须对安全设备进行经常性维护、保养和定期检测，有破损、遗失或无法正常使用时要及时维修、更新，以防形成生产安全隐患，发生生产安全事故。</w:t>
            </w:r>
          </w:p>
          <w:p>
            <w:pPr>
              <w:spacing w:line="280" w:lineRule="exact"/>
              <w:jc w:val="center"/>
              <w:rPr>
                <w:szCs w:val="21"/>
              </w:rPr>
            </w:pPr>
            <w:r>
              <w:rPr>
                <w:rFonts w:hint="eastAsia"/>
                <w:szCs w:val="21"/>
              </w:rPr>
              <w:t>2.粉尘涉爆企业应当对粉尘防爆安全设备进行经常性维护、保养，并按照《粉尘防爆安全规程》等有关国家标准或者行业标准定期检测或者检查，保证正常运行，做好相关记录，不得关闭、破坏直接关系粉尘防爆安全的监控、报警、防控等设备、设施，或者篡改、隐瞒、销毁其相关数据、信息。粉尘涉爆企业应当规范选用与爆炸危险区域相适应的防爆型电气设备；</w:t>
            </w:r>
          </w:p>
          <w:p>
            <w:pPr>
              <w:spacing w:line="280" w:lineRule="exact"/>
              <w:jc w:val="center"/>
              <w:rPr>
                <w:szCs w:val="21"/>
              </w:rPr>
            </w:pPr>
            <w:r>
              <w:rPr>
                <w:rFonts w:hint="eastAsia"/>
                <w:szCs w:val="21"/>
              </w:rPr>
              <w:t>3.危险化学品单位应当按照国家有关规定，定期对重大危险源的安全设施和安全监测监控系统进行检测、检验，并进行经常性维护、保养，保证重大危险源的安全设施和安全监测监控系统有效、可靠运行。</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危化科85026373、</w:t>
            </w:r>
          </w:p>
          <w:p>
            <w:pPr>
              <w:spacing w:line="280" w:lineRule="exact"/>
              <w:jc w:val="center"/>
              <w:rPr>
                <w:szCs w:val="21"/>
              </w:rPr>
            </w:pPr>
            <w:r>
              <w:rPr>
                <w:rFonts w:hint="eastAsia"/>
                <w:szCs w:val="21"/>
              </w:rPr>
              <w:t>基础科85024782、</w:t>
            </w:r>
          </w:p>
          <w:p>
            <w:pPr>
              <w:spacing w:line="280" w:lineRule="exact"/>
              <w:jc w:val="center"/>
              <w:rPr>
                <w:szCs w:val="21"/>
              </w:rPr>
            </w:pPr>
            <w:r>
              <w:rPr>
                <w:rFonts w:hint="eastAsia"/>
                <w:szCs w:val="21"/>
              </w:rPr>
              <w:t>综合行政执法大队</w:t>
            </w:r>
          </w:p>
          <w:p>
            <w:pPr>
              <w:spacing w:line="280" w:lineRule="exact"/>
              <w:jc w:val="center"/>
              <w:rPr>
                <w:szCs w:val="21"/>
              </w:rPr>
            </w:pPr>
            <w:r>
              <w:rPr>
                <w:rFonts w:hint="eastAsia"/>
                <w:szCs w:val="21"/>
              </w:rPr>
              <w:t>85020858</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5</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生产经营单位特种作业人员必须经专门培训取得特种作业操作证后，方可上岗作业</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1.特种作业人员无证上岗；</w:t>
            </w:r>
          </w:p>
          <w:p>
            <w:pPr>
              <w:spacing w:line="280" w:lineRule="exact"/>
              <w:jc w:val="center"/>
              <w:rPr>
                <w:szCs w:val="21"/>
              </w:rPr>
            </w:pPr>
            <w:r>
              <w:rPr>
                <w:rFonts w:hint="eastAsia"/>
                <w:szCs w:val="21"/>
              </w:rPr>
              <w:t>2.特种作业人员的特种作业操作证虚假或者已过有效期；</w:t>
            </w:r>
          </w:p>
          <w:p>
            <w:pPr>
              <w:spacing w:line="280" w:lineRule="exact"/>
              <w:jc w:val="center"/>
              <w:rPr>
                <w:szCs w:val="21"/>
              </w:rPr>
            </w:pPr>
            <w:r>
              <w:rPr>
                <w:rFonts w:hint="eastAsia"/>
                <w:szCs w:val="21"/>
              </w:rPr>
              <w:t>3.特种作业操作证再复审、延期复审不合格或未按期复审，上岗作业的。</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《中华人民共和国安全生产法》</w:t>
            </w:r>
          </w:p>
          <w:p>
            <w:pPr>
              <w:spacing w:line="280" w:lineRule="exact"/>
              <w:jc w:val="center"/>
              <w:rPr>
                <w:szCs w:val="21"/>
              </w:rPr>
            </w:pPr>
            <w:r>
              <w:rPr>
                <w:rFonts w:hint="eastAsia"/>
                <w:szCs w:val="21"/>
              </w:rPr>
              <w:t>第三十条第一款 生产经营单位的特种作业人员必须按照国家有关规定经专门的安全作业培训，取得相应资格，方可上岗作业。</w:t>
            </w:r>
          </w:p>
          <w:p>
            <w:pPr>
              <w:spacing w:line="280" w:lineRule="exact"/>
              <w:jc w:val="center"/>
              <w:rPr>
                <w:szCs w:val="21"/>
              </w:rPr>
            </w:pPr>
            <w:r>
              <w:rPr>
                <w:rFonts w:hint="eastAsia"/>
                <w:szCs w:val="21"/>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pPr>
              <w:spacing w:line="280" w:lineRule="exact"/>
              <w:jc w:val="center"/>
              <w:rPr>
                <w:szCs w:val="21"/>
              </w:rPr>
            </w:pPr>
            <w:r>
              <w:rPr>
                <w:rFonts w:hint="eastAsia"/>
                <w:szCs w:val="21"/>
              </w:rPr>
              <w:t>（七）特种作业人员未按照规定经专门的安全作业培训并取得相应资格，上岗作业的。</w:t>
            </w:r>
          </w:p>
          <w:p>
            <w:pPr>
              <w:spacing w:line="280" w:lineRule="exact"/>
              <w:jc w:val="center"/>
              <w:rPr>
                <w:szCs w:val="21"/>
              </w:rPr>
            </w:pPr>
            <w:r>
              <w:rPr>
                <w:rFonts w:hint="eastAsia"/>
                <w:szCs w:val="21"/>
              </w:rPr>
              <w:t>《特种作业人员安全技术培训考核管理规定》</w:t>
            </w:r>
          </w:p>
          <w:p>
            <w:pPr>
              <w:spacing w:line="280" w:lineRule="exact"/>
              <w:jc w:val="center"/>
              <w:rPr>
                <w:szCs w:val="21"/>
              </w:rPr>
            </w:pPr>
            <w:r>
              <w:rPr>
                <w:rFonts w:hint="eastAsia"/>
                <w:szCs w:val="21"/>
              </w:rPr>
              <w:t>第五条 特种作业人员必须经专门的安全技术培训并考核合格，取得《中华人民共和国特种作业操作证》（以下简称特种作业操作证）后，方可上岗作业。</w:t>
            </w:r>
          </w:p>
          <w:p>
            <w:pPr>
              <w:spacing w:line="280" w:lineRule="exact"/>
              <w:jc w:val="center"/>
              <w:rPr>
                <w:szCs w:val="21"/>
              </w:rPr>
            </w:pPr>
            <w:r>
              <w:rPr>
                <w:rFonts w:hint="eastAsia"/>
                <w:szCs w:val="21"/>
              </w:rPr>
              <w:t>第二十六条第二款 再复审、延期复审仍不合格，或者未按期复审的，特种作业操作证失效。</w:t>
            </w:r>
          </w:p>
          <w:p>
            <w:pPr>
              <w:spacing w:line="280" w:lineRule="exact"/>
              <w:jc w:val="center"/>
              <w:rPr>
                <w:szCs w:val="21"/>
              </w:rPr>
            </w:pPr>
            <w:r>
              <w:rPr>
                <w:rFonts w:hint="eastAsia"/>
                <w:szCs w:val="21"/>
              </w:rPr>
              <w:t>第四十一条第一款 特种作业人员伪造、涂改特种作业操作证或者使用伪造的特种作业操作证的，给予警告，并处1000元以上5000元以下的罚款。</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1.生产中常见的特种作业包括电工作业、焊接与热切割作业、高处作业等，具体参见《特种作业目录》；</w:t>
            </w:r>
          </w:p>
          <w:p>
            <w:pPr>
              <w:spacing w:line="280" w:lineRule="exact"/>
              <w:jc w:val="center"/>
              <w:rPr>
                <w:szCs w:val="21"/>
              </w:rPr>
            </w:pPr>
            <w:r>
              <w:rPr>
                <w:rFonts w:hint="eastAsia"/>
                <w:szCs w:val="21"/>
              </w:rPr>
              <w:t>2.特种作业人员必须经安全技术培训并经考核合格，取得《中华人民共和国特种作业操作证》后，方可上岗作业；</w:t>
            </w:r>
          </w:p>
          <w:p>
            <w:pPr>
              <w:spacing w:line="280" w:lineRule="exact"/>
              <w:jc w:val="center"/>
              <w:rPr>
                <w:szCs w:val="21"/>
              </w:rPr>
            </w:pPr>
            <w:r>
              <w:rPr>
                <w:rFonts w:hint="eastAsia"/>
                <w:szCs w:val="21"/>
              </w:rPr>
              <w:t>3.特种作业人员应当符合下列条件：</w:t>
            </w:r>
          </w:p>
          <w:p>
            <w:pPr>
              <w:spacing w:line="280" w:lineRule="exact"/>
              <w:jc w:val="center"/>
              <w:rPr>
                <w:szCs w:val="21"/>
              </w:rPr>
            </w:pPr>
            <w:r>
              <w:rPr>
                <w:rFonts w:hint="eastAsia"/>
                <w:szCs w:val="21"/>
              </w:rPr>
              <w:t>（1）年满18周岁，且不超过国家法定退休年龄；</w:t>
            </w:r>
          </w:p>
          <w:p>
            <w:pPr>
              <w:spacing w:line="280" w:lineRule="exact"/>
              <w:jc w:val="center"/>
              <w:rPr>
                <w:szCs w:val="21"/>
              </w:rPr>
            </w:pPr>
            <w:r>
              <w:rPr>
                <w:rFonts w:hint="eastAsia"/>
                <w:szCs w:val="21"/>
              </w:rPr>
              <w:t>（2）经社区或者县级以上医疗机构体检健康合格，并无妨碍从事相应特种作业的器质性心脏病、癫痫病、美尼尔氏症、眩晕症、癔病、震颤麻痹症、精神病、痴呆症以及其他疾病和生理缺陷；</w:t>
            </w:r>
          </w:p>
          <w:p>
            <w:pPr>
              <w:spacing w:line="280" w:lineRule="exact"/>
              <w:jc w:val="center"/>
              <w:rPr>
                <w:szCs w:val="21"/>
              </w:rPr>
            </w:pPr>
            <w:r>
              <w:rPr>
                <w:rFonts w:hint="eastAsia"/>
                <w:szCs w:val="21"/>
              </w:rPr>
              <w:t>（3）具有初中及以上文化程度；</w:t>
            </w:r>
          </w:p>
          <w:p>
            <w:pPr>
              <w:spacing w:line="280" w:lineRule="exact"/>
              <w:jc w:val="center"/>
              <w:rPr>
                <w:szCs w:val="21"/>
              </w:rPr>
            </w:pPr>
            <w:r>
              <w:rPr>
                <w:rFonts w:hint="eastAsia"/>
                <w:szCs w:val="21"/>
              </w:rPr>
              <w:t>（4）具备必要的安全技术知识与技能；</w:t>
            </w:r>
          </w:p>
          <w:p>
            <w:pPr>
              <w:spacing w:line="280" w:lineRule="exact"/>
              <w:jc w:val="center"/>
              <w:rPr>
                <w:szCs w:val="21"/>
              </w:rPr>
            </w:pPr>
            <w:r>
              <w:rPr>
                <w:rFonts w:hint="eastAsia"/>
                <w:szCs w:val="21"/>
              </w:rPr>
              <w:t>（5）相应特种走也规定的其他条件。</w:t>
            </w:r>
          </w:p>
          <w:p>
            <w:pPr>
              <w:spacing w:line="280" w:lineRule="exact"/>
              <w:jc w:val="center"/>
              <w:rPr>
                <w:szCs w:val="21"/>
              </w:rPr>
            </w:pPr>
            <w:r>
              <w:rPr>
                <w:rFonts w:hint="eastAsia"/>
                <w:szCs w:val="21"/>
              </w:rPr>
              <w:t>危险化学品特种作业人员除符合第（1）（2）（4）（5）项规定的条件外，应当具备高中或者相当于高中及以上文化程度；</w:t>
            </w:r>
          </w:p>
          <w:p>
            <w:pPr>
              <w:spacing w:line="280" w:lineRule="exact"/>
              <w:jc w:val="center"/>
              <w:rPr>
                <w:szCs w:val="21"/>
              </w:rPr>
            </w:pPr>
            <w:r>
              <w:rPr>
                <w:rFonts w:hint="eastAsia"/>
                <w:szCs w:val="21"/>
              </w:rPr>
              <w:t>4.其他合规要求，具体参见《特种作业人员安全技术培训考核管理规定》。</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危化科85026373、</w:t>
            </w:r>
          </w:p>
          <w:p>
            <w:pPr>
              <w:spacing w:line="280" w:lineRule="exact"/>
              <w:jc w:val="center"/>
              <w:rPr>
                <w:szCs w:val="21"/>
              </w:rPr>
            </w:pPr>
            <w:r>
              <w:rPr>
                <w:rFonts w:hint="eastAsia"/>
                <w:szCs w:val="21"/>
              </w:rPr>
              <w:t>基础科85024782、</w:t>
            </w:r>
          </w:p>
          <w:p>
            <w:pPr>
              <w:spacing w:line="280" w:lineRule="exact"/>
              <w:jc w:val="center"/>
              <w:rPr>
                <w:szCs w:val="21"/>
              </w:rPr>
            </w:pPr>
            <w:r>
              <w:rPr>
                <w:rFonts w:hint="eastAsia"/>
                <w:szCs w:val="21"/>
              </w:rPr>
              <w:t>综合行政执法大队</w:t>
            </w:r>
          </w:p>
          <w:p>
            <w:pPr>
              <w:spacing w:line="280" w:lineRule="exact"/>
              <w:jc w:val="center"/>
              <w:rPr>
                <w:szCs w:val="21"/>
              </w:rPr>
            </w:pPr>
            <w:r>
              <w:rPr>
                <w:rFonts w:hint="eastAsia"/>
                <w:szCs w:val="21"/>
              </w:rPr>
              <w:t>85020858</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6</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生产经营单位应与承包单位、承租单位签订专门的安全生产管理协议（或者在承包合同、租赁合同中明确各自的安全生产管理职责），并对承包单位、承租单位的安全生产统一协调、管理</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1.生产经营单位未与承包单位、承租单位签订专门的安全生产管理协议或者未在承包合同、租赁合同中明确各自的安全生产管理职责；</w:t>
            </w:r>
          </w:p>
          <w:p>
            <w:pPr>
              <w:spacing w:line="280" w:lineRule="exact"/>
              <w:jc w:val="center"/>
              <w:rPr>
                <w:szCs w:val="21"/>
              </w:rPr>
            </w:pPr>
            <w:r>
              <w:rPr>
                <w:rFonts w:hint="eastAsia"/>
                <w:szCs w:val="21"/>
              </w:rPr>
              <w:t>2.生产经营单位未对承包单位、承租单位的安全生产统一协调、管理。</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《中华人民共和国安全生产法》</w:t>
            </w:r>
          </w:p>
          <w:p>
            <w:pPr>
              <w:spacing w:line="280" w:lineRule="exact"/>
              <w:jc w:val="center"/>
              <w:rPr>
                <w:szCs w:val="21"/>
              </w:rPr>
            </w:pPr>
            <w:r>
              <w:rPr>
                <w:rFonts w:hint="eastAsia"/>
                <w:szCs w:val="21"/>
              </w:rPr>
              <w:t>第四十九条第二款 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pPr>
              <w:spacing w:line="280" w:lineRule="exact"/>
              <w:jc w:val="center"/>
              <w:rPr>
                <w:szCs w:val="21"/>
              </w:rPr>
            </w:pPr>
            <w:r>
              <w:rPr>
                <w:rFonts w:hint="eastAsia"/>
                <w:szCs w:val="21"/>
              </w:rPr>
              <w:t>第一百零三条第二款 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1.生产经营单位发包生产经营项目、出租场所的，应当履行下列安全生产责任：</w:t>
            </w:r>
          </w:p>
          <w:p>
            <w:pPr>
              <w:spacing w:line="280" w:lineRule="exact"/>
              <w:jc w:val="center"/>
              <w:rPr>
                <w:szCs w:val="21"/>
              </w:rPr>
            </w:pPr>
            <w:r>
              <w:rPr>
                <w:rFonts w:hint="eastAsia"/>
                <w:szCs w:val="21"/>
              </w:rPr>
              <w:t>（1）签订安全生产管理协议，明确各自安全生产责任；</w:t>
            </w:r>
          </w:p>
          <w:p>
            <w:pPr>
              <w:spacing w:line="280" w:lineRule="exact"/>
              <w:jc w:val="center"/>
              <w:rPr>
                <w:szCs w:val="21"/>
              </w:rPr>
            </w:pPr>
            <w:r>
              <w:rPr>
                <w:rFonts w:hint="eastAsia"/>
                <w:szCs w:val="21"/>
              </w:rPr>
              <w:t>（2）向承包方、承租方书面告知发包项目、出租场所以及相关设备的基本情况、安全生产要求；</w:t>
            </w:r>
          </w:p>
          <w:p>
            <w:pPr>
              <w:spacing w:line="280" w:lineRule="exact"/>
              <w:jc w:val="center"/>
              <w:rPr>
                <w:szCs w:val="21"/>
              </w:rPr>
            </w:pPr>
            <w:r>
              <w:rPr>
                <w:rFonts w:hint="eastAsia"/>
                <w:szCs w:val="21"/>
              </w:rPr>
              <w:t>（3）协调解决承包方、承租方提出的安全生产问题（4）定期进行安全检查，发现承包方、承租方有安全问题的，及时督促整改；</w:t>
            </w:r>
          </w:p>
          <w:p>
            <w:pPr>
              <w:spacing w:line="280" w:lineRule="exact"/>
              <w:jc w:val="center"/>
              <w:rPr>
                <w:szCs w:val="21"/>
              </w:rPr>
            </w:pPr>
            <w:r>
              <w:rPr>
                <w:rFonts w:hint="eastAsia"/>
                <w:szCs w:val="21"/>
              </w:rPr>
              <w:t>2.承包方、承租方应当服从发包方、出租方对其安全生产工作的统一协调管理，并依法负责本单位安全生产工作；发生生产安全事故时，应当及时报告安全生产监督管理部门和有关部门，并告知发包方、出租方。</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危化科85026373、</w:t>
            </w:r>
          </w:p>
          <w:p>
            <w:pPr>
              <w:spacing w:line="280" w:lineRule="exact"/>
              <w:jc w:val="center"/>
              <w:rPr>
                <w:szCs w:val="21"/>
              </w:rPr>
            </w:pPr>
            <w:r>
              <w:rPr>
                <w:rFonts w:hint="eastAsia"/>
                <w:szCs w:val="21"/>
              </w:rPr>
              <w:t>基础科85024782、</w:t>
            </w:r>
          </w:p>
          <w:p>
            <w:pPr>
              <w:spacing w:line="280" w:lineRule="exact"/>
              <w:jc w:val="center"/>
              <w:rPr>
                <w:szCs w:val="21"/>
              </w:rPr>
            </w:pPr>
            <w:r>
              <w:rPr>
                <w:rFonts w:hint="eastAsia"/>
                <w:szCs w:val="21"/>
              </w:rPr>
              <w:t>综合行政执法大队</w:t>
            </w:r>
          </w:p>
          <w:p>
            <w:pPr>
              <w:spacing w:line="280" w:lineRule="exact"/>
              <w:jc w:val="center"/>
              <w:rPr>
                <w:szCs w:val="21"/>
              </w:rPr>
            </w:pPr>
            <w:r>
              <w:rPr>
                <w:rFonts w:hint="eastAsia"/>
                <w:szCs w:val="21"/>
              </w:rPr>
              <w:t>85020858</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7</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生产经营场所和员工宿舍应当设有符合紧急疏散要求、标志明显、保持畅通的出口、疏散通道。禁止占用、锁闭、封堵生产经营场所或者员工宿舍的出口、疏散通道。</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1.生产经营场所和员工宿舍未设有符合紧急疏散要求、标志明显、保持畅通的出口、疏散通道；</w:t>
            </w:r>
          </w:p>
          <w:p>
            <w:pPr>
              <w:spacing w:line="280" w:lineRule="exact"/>
              <w:jc w:val="center"/>
              <w:rPr>
                <w:szCs w:val="21"/>
              </w:rPr>
            </w:pPr>
            <w:r>
              <w:rPr>
                <w:rFonts w:hint="eastAsia"/>
                <w:szCs w:val="21"/>
              </w:rPr>
              <w:t>2.生产经营场所、员工宿舍出口、疏散通道未设置明显标志；</w:t>
            </w:r>
          </w:p>
          <w:p>
            <w:pPr>
              <w:spacing w:line="280" w:lineRule="exact"/>
              <w:jc w:val="center"/>
              <w:rPr>
                <w:szCs w:val="21"/>
              </w:rPr>
            </w:pPr>
            <w:r>
              <w:rPr>
                <w:rFonts w:hint="eastAsia"/>
                <w:szCs w:val="21"/>
              </w:rPr>
              <w:t>3.生产经营单位锁闭、封堵生产经营场所、员工宿舍出口、疏散通道。</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《中华人民共和国安全生产法》</w:t>
            </w:r>
          </w:p>
          <w:p>
            <w:pPr>
              <w:spacing w:line="280" w:lineRule="exact"/>
              <w:jc w:val="center"/>
              <w:rPr>
                <w:szCs w:val="21"/>
              </w:rPr>
            </w:pPr>
            <w:r>
              <w:rPr>
                <w:rFonts w:hint="eastAsia"/>
                <w:szCs w:val="21"/>
              </w:rPr>
              <w:t>第四十二条第二款 生产经营场所和员工宿舍应当设有符合紧急疏散要求、标志明显、保持畅通的出口、疏散通道。禁止占用、锁闭、封堵生产经营场所或者员工宿舍的出口、疏散通道。</w:t>
            </w:r>
          </w:p>
          <w:p>
            <w:pPr>
              <w:spacing w:line="280" w:lineRule="exact"/>
              <w:jc w:val="center"/>
              <w:rPr>
                <w:szCs w:val="21"/>
              </w:rPr>
            </w:pPr>
            <w:r>
              <w:rPr>
                <w:rFonts w:hint="eastAsia"/>
                <w:szCs w:val="21"/>
              </w:rPr>
              <w:t>第一百零五条 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pPr>
              <w:spacing w:line="280" w:lineRule="exact"/>
              <w:jc w:val="center"/>
              <w:rPr>
                <w:szCs w:val="21"/>
              </w:rPr>
            </w:pPr>
            <w:r>
              <w:rPr>
                <w:rFonts w:hint="eastAsia"/>
                <w:szCs w:val="21"/>
              </w:rPr>
              <w:t>（二）生产经营场所和员工宿舍未设有符合紧急疏散需要、标志明显、保持畅通的出口、疏散通道，或者占用、锁闭、封堵生产经营场所或者员工宿舍出口、疏散通道的。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1.生产经营场所的安全设施、安全通道、安全标志等必须符合国家标准、行业标准、地方标准，生产经营单位应当进行经常性维护、保养，定期检测安全防护效果。</w:t>
            </w:r>
          </w:p>
          <w:p>
            <w:pPr>
              <w:spacing w:line="280" w:lineRule="exact"/>
              <w:jc w:val="center"/>
              <w:rPr>
                <w:szCs w:val="21"/>
              </w:rPr>
            </w:pPr>
            <w:r>
              <w:rPr>
                <w:rFonts w:hint="eastAsia"/>
                <w:szCs w:val="21"/>
              </w:rPr>
              <w:t>2.生产经营单位应在经营场所设置标志明显的安全出口和符合疏散要求的疏散通道并确保畅通，从业人员能够熟练使用安全设施，了解安全通道的位置及本岗位的应急救援职责。</w:t>
            </w:r>
          </w:p>
          <w:p>
            <w:pPr>
              <w:spacing w:line="280" w:lineRule="exact"/>
              <w:jc w:val="center"/>
              <w:rPr>
                <w:szCs w:val="21"/>
              </w:rPr>
            </w:pPr>
            <w:r>
              <w:rPr>
                <w:rFonts w:hint="eastAsia"/>
                <w:szCs w:val="21"/>
              </w:rPr>
              <w:t>3.其他合规要求，具体参见《建筑设计防火规范》。</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危化科85026373、</w:t>
            </w:r>
          </w:p>
          <w:p>
            <w:pPr>
              <w:spacing w:line="280" w:lineRule="exact"/>
              <w:jc w:val="center"/>
              <w:rPr>
                <w:szCs w:val="21"/>
              </w:rPr>
            </w:pPr>
            <w:r>
              <w:rPr>
                <w:rFonts w:hint="eastAsia"/>
                <w:szCs w:val="21"/>
              </w:rPr>
              <w:t>基础科85024782、</w:t>
            </w:r>
          </w:p>
          <w:p>
            <w:pPr>
              <w:spacing w:line="280" w:lineRule="exact"/>
              <w:jc w:val="center"/>
              <w:rPr>
                <w:szCs w:val="21"/>
              </w:rPr>
            </w:pPr>
            <w:r>
              <w:rPr>
                <w:rFonts w:hint="eastAsia"/>
                <w:szCs w:val="21"/>
              </w:rPr>
              <w:t>综合行政执法大队</w:t>
            </w:r>
          </w:p>
          <w:p>
            <w:pPr>
              <w:spacing w:line="280" w:lineRule="exact"/>
              <w:jc w:val="center"/>
              <w:rPr>
                <w:szCs w:val="21"/>
              </w:rPr>
            </w:pPr>
            <w:r>
              <w:rPr>
                <w:rFonts w:hint="eastAsia"/>
                <w:szCs w:val="21"/>
              </w:rPr>
              <w:t>85020858</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8</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生产经营单位应为从业人员提供符合国家标准或者行业标准的劳动防护用品</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生产经营单位为从业人员提供的劳动防护用品不符合该劳动防护用品的国家标准或者行业标准。</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《中华人民共和国安全生产法》</w:t>
            </w:r>
          </w:p>
          <w:p>
            <w:pPr>
              <w:spacing w:line="280" w:lineRule="exact"/>
              <w:jc w:val="center"/>
              <w:rPr>
                <w:szCs w:val="21"/>
              </w:rPr>
            </w:pPr>
            <w:r>
              <w:rPr>
                <w:rFonts w:hint="eastAsia"/>
                <w:szCs w:val="21"/>
              </w:rPr>
              <w:t>第四十五条 生产经营单位必须为从业人员提供符合国家标准或者行业标准的劳动防护用品，并监督、教育从业人员按照使用规则佩戴、使用。</w:t>
            </w:r>
          </w:p>
          <w:p>
            <w:pPr>
              <w:spacing w:line="280" w:lineRule="exact"/>
              <w:jc w:val="center"/>
              <w:rPr>
                <w:szCs w:val="21"/>
              </w:rPr>
            </w:pPr>
            <w:r>
              <w:rPr>
                <w:rFonts w:hint="eastAsia"/>
                <w:szCs w:val="21"/>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spacing w:line="280" w:lineRule="exact"/>
              <w:jc w:val="center"/>
              <w:rPr>
                <w:szCs w:val="21"/>
              </w:rPr>
            </w:pPr>
            <w:r>
              <w:rPr>
                <w:rFonts w:hint="eastAsia"/>
                <w:szCs w:val="21"/>
              </w:rPr>
              <w:t>（五）未为从业人员提供符合国家标准或者行业标准的劳动防护用品的。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1.劳动防护用品的种类以及识别、选择参考《用人单位劳动防护用品管理规范》；</w:t>
            </w:r>
          </w:p>
          <w:p>
            <w:pPr>
              <w:spacing w:line="280" w:lineRule="exact"/>
              <w:jc w:val="center"/>
              <w:rPr>
                <w:szCs w:val="21"/>
              </w:rPr>
            </w:pPr>
            <w:r>
              <w:rPr>
                <w:rFonts w:hint="eastAsia"/>
                <w:szCs w:val="21"/>
              </w:rPr>
              <w:t>2.劳动防护用品如安全帽、防尘口罩都有相应国家标准，生产经营单位应当为从业人员提供符合国家标准或者行业标准的劳动防护用品；</w:t>
            </w:r>
          </w:p>
          <w:p>
            <w:pPr>
              <w:spacing w:line="280" w:lineRule="exact"/>
              <w:jc w:val="center"/>
              <w:rPr>
                <w:szCs w:val="21"/>
              </w:rPr>
            </w:pPr>
            <w:r>
              <w:rPr>
                <w:rFonts w:hint="eastAsia"/>
                <w:szCs w:val="21"/>
              </w:rPr>
              <w:t>3.工贸企业应当根据有限空间存在危险有害因素的种类和危害程度，为作业人员提供符合国家标准或者行业标准规定的劳动防护用品，并教育监督作业人员正确佩戴与使用；</w:t>
            </w:r>
          </w:p>
          <w:p>
            <w:pPr>
              <w:spacing w:line="280" w:lineRule="exact"/>
              <w:jc w:val="center"/>
              <w:rPr>
                <w:szCs w:val="21"/>
              </w:rPr>
            </w:pPr>
            <w:r>
              <w:rPr>
                <w:rFonts w:hint="eastAsia"/>
                <w:szCs w:val="21"/>
              </w:rPr>
              <w:t>4.粉尘涉爆企业应当为粉尘作业岗位从业人员提供符合国家标准或者行业标准的劳动防护用品，并监督、教育从业人员按照使用规则佩戴、使用。</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危化科85026373、</w:t>
            </w:r>
          </w:p>
          <w:p>
            <w:pPr>
              <w:spacing w:line="280" w:lineRule="exact"/>
              <w:jc w:val="center"/>
              <w:rPr>
                <w:szCs w:val="21"/>
              </w:rPr>
            </w:pPr>
            <w:r>
              <w:rPr>
                <w:rFonts w:hint="eastAsia"/>
                <w:szCs w:val="21"/>
              </w:rPr>
              <w:t>基础科85024782、</w:t>
            </w:r>
          </w:p>
          <w:p>
            <w:pPr>
              <w:spacing w:line="280" w:lineRule="exact"/>
              <w:jc w:val="center"/>
              <w:rPr>
                <w:szCs w:val="21"/>
              </w:rPr>
            </w:pPr>
            <w:r>
              <w:rPr>
                <w:rFonts w:hint="eastAsia"/>
                <w:szCs w:val="21"/>
              </w:rPr>
              <w:t>综合行政执法大队</w:t>
            </w:r>
          </w:p>
          <w:p>
            <w:pPr>
              <w:spacing w:line="280" w:lineRule="exact"/>
              <w:jc w:val="center"/>
              <w:rPr>
                <w:szCs w:val="21"/>
              </w:rPr>
            </w:pPr>
            <w:r>
              <w:rPr>
                <w:rFonts w:hint="eastAsia"/>
                <w:szCs w:val="21"/>
              </w:rPr>
              <w:t>85020858</w:t>
            </w:r>
          </w:p>
        </w:tc>
      </w:tr>
    </w:tbl>
    <w:p>
      <w:pPr>
        <w:widowControl/>
        <w:spacing w:line="300" w:lineRule="exact"/>
        <w:rPr>
          <w:rFonts w:eastAsia="方正楷体_GBK"/>
          <w:szCs w:val="21"/>
        </w:rPr>
      </w:pPr>
      <w:r>
        <w:rPr>
          <w:rFonts w:eastAsia="方正楷体_GBK"/>
          <w:szCs w:val="21"/>
        </w:rPr>
        <w:t>备注：风险等级</w:t>
      </w:r>
      <w:r>
        <w:rPr>
          <w:rFonts w:hint="eastAsia" w:eastAsia="方正楷体_GBK"/>
          <w:szCs w:val="21"/>
        </w:rPr>
        <w:t>，</w:t>
      </w:r>
      <w:r>
        <w:rPr>
          <w:rFonts w:eastAsia="方正楷体_GBK"/>
          <w:szCs w:val="21"/>
        </w:rPr>
        <w:t>发生频率较高的为★★★，发生频率一般的为★★，发生频率较少的为★。</w:t>
      </w:r>
    </w:p>
    <w:p>
      <w:pPr>
        <w:overflowPunct w:val="0"/>
        <w:autoSpaceDE w:val="0"/>
        <w:autoSpaceDN w:val="0"/>
        <w:adjustRightInd w:val="0"/>
        <w:jc w:val="left"/>
        <w:rPr>
          <w:rFonts w:ascii="方正小标宋_GBK" w:hAnsi="华文中宋" w:eastAsia="方正小标宋_GBK"/>
          <w:kern w:val="0"/>
          <w:sz w:val="36"/>
          <w:szCs w:val="36"/>
        </w:rPr>
      </w:pPr>
    </w:p>
    <w:p/>
    <w:p>
      <w:pPr>
        <w:overflowPunct w:val="0"/>
        <w:autoSpaceDE w:val="0"/>
        <w:autoSpaceDN w:val="0"/>
        <w:adjustRightInd w:val="0"/>
        <w:jc w:val="left"/>
        <w:rPr>
          <w:rFonts w:ascii="方正小标宋_GBK" w:hAnsi="华文中宋" w:eastAsia="方正小标宋_GBK"/>
          <w:kern w:val="0"/>
          <w:sz w:val="36"/>
          <w:szCs w:val="36"/>
        </w:rPr>
      </w:pPr>
    </w:p>
    <w:p>
      <w:pPr>
        <w:overflowPunct w:val="0"/>
        <w:autoSpaceDE w:val="0"/>
        <w:autoSpaceDN w:val="0"/>
        <w:adjustRightInd w:val="0"/>
        <w:jc w:val="center"/>
        <w:rPr>
          <w:rFonts w:ascii="方正小标宋_GBK" w:hAnsi="华文中宋" w:eastAsia="方正小标宋_GBK"/>
          <w:kern w:val="0"/>
          <w:sz w:val="36"/>
          <w:szCs w:val="36"/>
        </w:rPr>
        <w:sectPr>
          <w:pgSz w:w="16838" w:h="11906" w:orient="landscape"/>
          <w:pgMar w:top="1800" w:right="1440" w:bottom="1800" w:left="1440" w:header="851" w:footer="992" w:gutter="0"/>
          <w:cols w:space="425" w:num="1"/>
          <w:docGrid w:type="lines" w:linePitch="312" w:charSpace="0"/>
        </w:sectPr>
      </w:pPr>
    </w:p>
    <w:p>
      <w:pPr>
        <w:overflowPunct w:val="0"/>
        <w:autoSpaceDE w:val="0"/>
        <w:autoSpaceDN w:val="0"/>
        <w:adjustRightInd w:val="0"/>
        <w:jc w:val="center"/>
        <w:rPr>
          <w:rFonts w:hint="eastAsia" w:ascii="方正小标宋_GBK" w:hAnsi="华文中宋" w:eastAsia="方正小标宋_GBK"/>
          <w:kern w:val="0"/>
          <w:sz w:val="36"/>
          <w:szCs w:val="36"/>
          <w:lang w:eastAsia="zh-CN"/>
        </w:rPr>
      </w:pPr>
      <w:r>
        <w:rPr>
          <w:rFonts w:hint="eastAsia" w:ascii="方正小标宋_GBK" w:hAnsi="华文中宋" w:eastAsia="方正小标宋_GBK"/>
          <w:kern w:val="0"/>
          <w:sz w:val="36"/>
          <w:szCs w:val="36"/>
          <w:lang w:eastAsia="zh-CN"/>
        </w:rPr>
        <w:t>梁溪区企业行政合规指导清单（第一批）</w:t>
      </w:r>
    </w:p>
    <w:p>
      <w:pPr>
        <w:overflowPunct w:val="0"/>
        <w:autoSpaceDE w:val="0"/>
        <w:autoSpaceDN w:val="0"/>
        <w:adjustRightInd w:val="0"/>
        <w:jc w:val="center"/>
        <w:rPr>
          <w:rFonts w:ascii="方正小标宋_GBK" w:hAnsi="华文中宋" w:eastAsia="方正小标宋_GBK"/>
          <w:kern w:val="0"/>
          <w:sz w:val="36"/>
          <w:szCs w:val="36"/>
        </w:rPr>
      </w:pPr>
      <w:r>
        <w:rPr>
          <w:rFonts w:hint="eastAsia" w:ascii="方正小标宋_GBK" w:hAnsi="华文中宋" w:eastAsia="方正小标宋_GBK"/>
          <w:kern w:val="0"/>
          <w:sz w:val="36"/>
          <w:szCs w:val="36"/>
        </w:rPr>
        <w:t>（区</w:t>
      </w:r>
      <w:r>
        <w:rPr>
          <w:rFonts w:hint="eastAsia" w:ascii="方正小标宋_GBK" w:eastAsia="方正小标宋_GBK"/>
          <w:sz w:val="36"/>
          <w:szCs w:val="36"/>
        </w:rPr>
        <w:t>市场监督管理局</w:t>
      </w:r>
      <w:r>
        <w:rPr>
          <w:rFonts w:hint="eastAsia" w:ascii="方正小标宋_GBK" w:hAnsi="华文中宋" w:eastAsia="方正小标宋_GBK"/>
          <w:kern w:val="0"/>
          <w:sz w:val="36"/>
          <w:szCs w:val="36"/>
        </w:rPr>
        <w:t>）</w:t>
      </w:r>
    </w:p>
    <w:p>
      <w:pPr>
        <w:rPr>
          <w:rFonts w:eastAsia="方正楷体_GBK"/>
          <w:szCs w:val="21"/>
        </w:rPr>
      </w:pPr>
      <w:r>
        <w:rPr>
          <w:rFonts w:hint="eastAsia" w:eastAsia="方正楷体_GBK"/>
          <w:szCs w:val="21"/>
        </w:rPr>
        <w:t>广告监督管理部分:</w:t>
      </w:r>
    </w:p>
    <w:tbl>
      <w:tblPr>
        <w:tblStyle w:val="6"/>
        <w:tblW w:w="14740" w:type="dxa"/>
        <w:jc w:val="center"/>
        <w:tblLayout w:type="autofit"/>
        <w:tblCellMar>
          <w:top w:w="0" w:type="dxa"/>
          <w:left w:w="108" w:type="dxa"/>
          <w:bottom w:w="0" w:type="dxa"/>
          <w:right w:w="108" w:type="dxa"/>
        </w:tblCellMar>
      </w:tblPr>
      <w:tblGrid>
        <w:gridCol w:w="876"/>
        <w:gridCol w:w="1773"/>
        <w:gridCol w:w="2300"/>
        <w:gridCol w:w="4337"/>
        <w:gridCol w:w="920"/>
        <w:gridCol w:w="2957"/>
        <w:gridCol w:w="1577"/>
      </w:tblGrid>
      <w:tr>
        <w:tblPrEx>
          <w:tblCellMar>
            <w:top w:w="0" w:type="dxa"/>
            <w:left w:w="108" w:type="dxa"/>
            <w:bottom w:w="0" w:type="dxa"/>
            <w:right w:w="108" w:type="dxa"/>
          </w:tblCellMar>
        </w:tblPrEx>
        <w:trPr>
          <w:trHeight w:val="763" w:hRule="atLeast"/>
          <w:tblHeader/>
          <w:jc w:val="center"/>
        </w:trPr>
        <w:tc>
          <w:tcPr>
            <w:tcW w:w="876"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序号</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行政合规</w:t>
            </w:r>
          </w:p>
          <w:p>
            <w:pPr>
              <w:spacing w:line="280" w:lineRule="exact"/>
              <w:jc w:val="center"/>
              <w:rPr>
                <w:rFonts w:ascii="方正黑体_GBK" w:hAnsi="黑体" w:eastAsia="方正黑体_GBK"/>
                <w:szCs w:val="21"/>
              </w:rPr>
            </w:pPr>
            <w:r>
              <w:rPr>
                <w:rFonts w:hint="eastAsia" w:ascii="方正黑体_GBK" w:hAnsi="黑体" w:eastAsia="方正黑体_GBK"/>
                <w:szCs w:val="21"/>
              </w:rPr>
              <w:t>事项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常见违法行为表现</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法律依据及违法责任</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风险等级</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合规建议</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指导部门（科室）</w:t>
            </w:r>
          </w:p>
        </w:tc>
      </w:tr>
      <w:tr>
        <w:tblPrEx>
          <w:tblCellMar>
            <w:top w:w="0" w:type="dxa"/>
            <w:left w:w="108" w:type="dxa"/>
            <w:bottom w:w="0" w:type="dxa"/>
            <w:right w:w="108" w:type="dxa"/>
          </w:tblCellMar>
        </w:tblPrEx>
        <w:trPr>
          <w:trHeight w:val="23"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广告不得含有商品或者服务不存在的虚假内容。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此类广告虚构了商品或服务本身，客观上没有任何商品、服务；</w:t>
            </w:r>
          </w:p>
          <w:p>
            <w:pPr>
              <w:spacing w:line="280" w:lineRule="exact"/>
              <w:jc w:val="center"/>
              <w:rPr>
                <w:szCs w:val="21"/>
              </w:rPr>
            </w:pPr>
            <w:r>
              <w:rPr>
                <w:rFonts w:hint="eastAsia"/>
                <w:szCs w:val="21"/>
              </w:rPr>
              <w:t>发布者主观上没有提供任何商品或服务的打算；</w:t>
            </w:r>
          </w:p>
          <w:p>
            <w:pPr>
              <w:spacing w:line="280" w:lineRule="exact"/>
              <w:jc w:val="center"/>
              <w:rPr>
                <w:szCs w:val="21"/>
              </w:rPr>
            </w:pPr>
            <w:r>
              <w:rPr>
                <w:rFonts w:hint="eastAsia"/>
                <w:szCs w:val="21"/>
              </w:rPr>
              <w:t>诱使消费者对商品或服务产生错误理解，骗取钱财。</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第四条第一款  广告不得含有虚假或者引人误解的内容，不得欺骗、误导消费者。</w:t>
            </w:r>
          </w:p>
          <w:p>
            <w:pPr>
              <w:spacing w:line="280" w:lineRule="exact"/>
              <w:jc w:val="center"/>
              <w:rPr>
                <w:szCs w:val="21"/>
              </w:rPr>
            </w:pPr>
            <w:r>
              <w:rPr>
                <w:rFonts w:hint="eastAsia"/>
                <w:szCs w:val="21"/>
              </w:rPr>
              <w:t>第二十八条第二款第（一）项  广告有下列情形之一的，为虚假广告：（一）商品或者服务不存在的；</w:t>
            </w:r>
          </w:p>
          <w:p>
            <w:pPr>
              <w:spacing w:line="280" w:lineRule="exact"/>
              <w:jc w:val="center"/>
              <w:rPr>
                <w:szCs w:val="21"/>
              </w:rPr>
            </w:pPr>
            <w:r>
              <w:rPr>
                <w:rFonts w:hint="eastAsia"/>
                <w:szCs w:val="21"/>
              </w:rPr>
              <w:t>第五十五条第一款  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ascii="宋体" w:hAnsi="宋体" w:cs="宋体"/>
                <w:kern w:val="0"/>
                <w:sz w:val="18"/>
                <w:szCs w:val="18"/>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广告活动必须符合法律的规定，真实、客观地宣传有关商品或者服务，不得含有商品或者服务不存在的虚假或者引人误解的内容，不得欺骗、误导消费者。</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2305"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广告不得含有商品或者服务与实际情况不符的虚假内容。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对商品或者服务内容进行编造、伪造、虚夸，与实际情况明显不符；</w:t>
            </w:r>
          </w:p>
          <w:p>
            <w:pPr>
              <w:spacing w:line="280" w:lineRule="exact"/>
              <w:jc w:val="center"/>
              <w:rPr>
                <w:szCs w:val="21"/>
              </w:rPr>
            </w:pPr>
            <w:r>
              <w:rPr>
                <w:rFonts w:hint="eastAsia"/>
                <w:szCs w:val="21"/>
              </w:rPr>
              <w:t>诱使消费者对商品或者服务产生错误理解，影响其选择。</w:t>
            </w:r>
          </w:p>
          <w:p>
            <w:pPr>
              <w:spacing w:line="280" w:lineRule="exact"/>
              <w:jc w:val="center"/>
              <w:rPr>
                <w:szCs w:val="21"/>
              </w:rPr>
            </w:pP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第四条第一款  广告不得含有虚假或者引人误解的内容，不得欺骗、误导消费者。</w:t>
            </w:r>
          </w:p>
          <w:p>
            <w:pPr>
              <w:spacing w:line="280" w:lineRule="exact"/>
              <w:jc w:val="center"/>
              <w:rPr>
                <w:szCs w:val="21"/>
              </w:rPr>
            </w:pPr>
            <w:r>
              <w:rPr>
                <w:rFonts w:hint="eastAsia"/>
                <w:szCs w:val="21"/>
              </w:rPr>
              <w:t>第二十八条第二款第（二）项  广告有下列情形之一的，为虚假广告：（二）商品的性能、功能、产地、用途、质量、规格、成分、价格、生产者、有效期限、销售状况、曾获荣誉等信息，或者服务的内容、提供者、形式、质量、价格、销售状况、曾获荣誉等信息，以及与商品或者服务有关的允诺等信息与实际情况不符，对购买行为有实质性影响的；</w:t>
            </w:r>
          </w:p>
          <w:p>
            <w:pPr>
              <w:spacing w:line="280" w:lineRule="exact"/>
              <w:jc w:val="center"/>
              <w:rPr>
                <w:szCs w:val="21"/>
              </w:rPr>
            </w:pPr>
            <w:r>
              <w:rPr>
                <w:rFonts w:hint="eastAsia"/>
                <w:szCs w:val="21"/>
              </w:rPr>
              <w:t>第五十五条第一款  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广告活动必须符合法律的规定，真实、客观地宣传有关商品或者服务：</w:t>
            </w:r>
          </w:p>
          <w:p>
            <w:pPr>
              <w:spacing w:line="280" w:lineRule="exact"/>
              <w:jc w:val="center"/>
              <w:rPr>
                <w:szCs w:val="21"/>
              </w:rPr>
            </w:pPr>
            <w:r>
              <w:rPr>
                <w:rFonts w:hint="eastAsia"/>
                <w:szCs w:val="21"/>
              </w:rPr>
              <w:t>商品性能、功能、产地、用途、质量、规格、成分、价格、生产者、有效期限、销售状况、曾获荣誉等信息不得与实际情况不符；</w:t>
            </w:r>
          </w:p>
          <w:p>
            <w:pPr>
              <w:spacing w:line="280" w:lineRule="exact"/>
              <w:jc w:val="center"/>
              <w:rPr>
                <w:szCs w:val="21"/>
              </w:rPr>
            </w:pPr>
            <w:r>
              <w:rPr>
                <w:rFonts w:hint="eastAsia"/>
                <w:szCs w:val="21"/>
              </w:rPr>
              <w:t>服务内容、提供者、形式、质量、价格、销售状况、曾获荣誉等信息不得与实际情况不符；</w:t>
            </w:r>
          </w:p>
          <w:p>
            <w:pPr>
              <w:spacing w:line="280" w:lineRule="exact"/>
              <w:jc w:val="center"/>
              <w:rPr>
                <w:szCs w:val="21"/>
              </w:rPr>
            </w:pPr>
            <w:r>
              <w:rPr>
                <w:rFonts w:hint="eastAsia"/>
                <w:szCs w:val="21"/>
              </w:rPr>
              <w:t>商品或者服务有关的允诺等信息不得与实际情况不符；</w:t>
            </w:r>
          </w:p>
          <w:p>
            <w:pPr>
              <w:spacing w:line="280" w:lineRule="exact"/>
              <w:jc w:val="center"/>
              <w:rPr>
                <w:szCs w:val="21"/>
              </w:rPr>
            </w:pPr>
            <w:r>
              <w:rPr>
                <w:rFonts w:hint="eastAsia"/>
                <w:szCs w:val="21"/>
              </w:rPr>
              <w:t>不得含有对购买行为有实质性影响的虚假或者引人误解的内容，不得欺骗、误导消费者。</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359"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3</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广告不得使用虚构、伪造、无法验证的信息作证明材料。</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此类广告中使用虚构、伪造或者无法验证的科研成果、统计资料、调查结果、文摘、引用语等信息作为证明材料。</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第四条第一款  广告不得含有虚假或者引人误解的内容，不得欺骗、误导消费者。</w:t>
            </w:r>
          </w:p>
          <w:p>
            <w:pPr>
              <w:spacing w:line="280" w:lineRule="exact"/>
              <w:jc w:val="center"/>
              <w:rPr>
                <w:szCs w:val="21"/>
              </w:rPr>
            </w:pPr>
            <w:r>
              <w:rPr>
                <w:rFonts w:hint="eastAsia"/>
                <w:szCs w:val="21"/>
              </w:rPr>
              <w:t>第二十八条第二款第（三）项  广告有下列情形之一的，为虚假广告：（三）使用虚构、伪造或者无法验证的科研成果、统计资料、调查结果、文摘、引用语等信息作证明材料的；</w:t>
            </w:r>
          </w:p>
          <w:p>
            <w:pPr>
              <w:spacing w:line="280" w:lineRule="exact"/>
              <w:jc w:val="center"/>
              <w:rPr>
                <w:szCs w:val="21"/>
              </w:rPr>
            </w:pPr>
            <w:r>
              <w:rPr>
                <w:rFonts w:hint="eastAsia"/>
                <w:szCs w:val="21"/>
              </w:rPr>
              <w:t>第五十五条第一款  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广告活动必须符合法律的规定，真实、客观地宣传有关商品或者服务，不得使用虚构、伪造或者无法验证的科研成果、统计资料、调查结果、文摘、引用语等信息作证明材料，不得欺骗、误导消费者。</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4</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广告不得虚构使用商品或者接受服务的效果。</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虚构普通消费者使用商品或接受服务的经历，对商品或者服务进行宣传；</w:t>
            </w:r>
          </w:p>
          <w:p>
            <w:pPr>
              <w:spacing w:line="280" w:lineRule="exact"/>
              <w:jc w:val="center"/>
              <w:rPr>
                <w:szCs w:val="21"/>
              </w:rPr>
            </w:pPr>
            <w:r>
              <w:rPr>
                <w:rFonts w:hint="eastAsia"/>
                <w:szCs w:val="21"/>
              </w:rPr>
              <w:t>利用普通消费者对公众人物的崇拜心理，聘请公众人物代言商品，虚构使用商品或者接受服务的效果进行宣传。</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第四条第一款  广告不得含有虚假或者引人误解的内容，不得欺骗、误导消费者。</w:t>
            </w:r>
          </w:p>
          <w:p>
            <w:pPr>
              <w:spacing w:line="280" w:lineRule="exact"/>
              <w:jc w:val="center"/>
              <w:rPr>
                <w:szCs w:val="21"/>
              </w:rPr>
            </w:pPr>
            <w:r>
              <w:rPr>
                <w:rFonts w:hint="eastAsia"/>
                <w:szCs w:val="21"/>
              </w:rPr>
              <w:t>第二十八条第二款第（四）项  广告有下列情形之一的，为虚假广告：（四）虚构使用商品或者接受服务的效果的；</w:t>
            </w:r>
          </w:p>
          <w:p>
            <w:pPr>
              <w:spacing w:line="280" w:lineRule="exact"/>
              <w:jc w:val="center"/>
              <w:rPr>
                <w:szCs w:val="21"/>
              </w:rPr>
            </w:pPr>
            <w:r>
              <w:rPr>
                <w:rFonts w:hint="eastAsia"/>
                <w:szCs w:val="21"/>
              </w:rPr>
              <w:t>第五十五条第一款  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广告活动必须符合法律的规定，真实、客观地宣传有关商品或者服务，不得虚构使用商品或者接受服务的效果，不得欺骗、误导消费者。</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p>
            <w:pPr>
              <w:spacing w:line="280" w:lineRule="exact"/>
              <w:jc w:val="center"/>
              <w:rPr>
                <w:szCs w:val="21"/>
              </w:rPr>
            </w:pP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5</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广告不得谎称商品生产经营者或者服务提供者已取得应当取得的资质。</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广告宣传的商品生产经营者或者服务提供者应当取得许可证、其他批准文件或者营业执照，未取得而谎称取得的。</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《江苏省广告条例》</w:t>
            </w:r>
          </w:p>
          <w:p>
            <w:pPr>
              <w:spacing w:line="280" w:lineRule="exact"/>
              <w:jc w:val="center"/>
              <w:rPr>
                <w:szCs w:val="21"/>
              </w:rPr>
            </w:pPr>
            <w:r>
              <w:rPr>
                <w:rFonts w:hint="eastAsia"/>
                <w:szCs w:val="21"/>
              </w:rPr>
              <w:t>第十一条第二款第（二）项  广告有下列情形之一的，为虚假广告：（二）宣传的商品生产经营者或者服务提供者应当取得许可证、其他批准文件或者营业执照，未取得而谎称取得的；</w:t>
            </w:r>
          </w:p>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第四条第一款  广告不得含有虚假或者引人误解的内容，不得欺骗、误导消费者。</w:t>
            </w:r>
          </w:p>
          <w:p>
            <w:pPr>
              <w:spacing w:line="280" w:lineRule="exact"/>
              <w:jc w:val="center"/>
              <w:rPr>
                <w:szCs w:val="21"/>
              </w:rPr>
            </w:pPr>
            <w:r>
              <w:rPr>
                <w:rFonts w:hint="eastAsia"/>
                <w:szCs w:val="21"/>
              </w:rPr>
              <w:t>第五十五条第一款  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广告活动必须符合法律的规定，真实、客观地宣传有关商品或者服务，不得谎称已取得应当取得的许可证、其他批准文件或者营业执照，不得欺骗、误导消费者。</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6</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广告不得谎称商品或者服务经过审查批准、认证、公证。</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广告谎称商品或者服务经过审查批准、认证、公证。</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《江苏省广告条例》</w:t>
            </w:r>
          </w:p>
          <w:p>
            <w:pPr>
              <w:spacing w:line="280" w:lineRule="exact"/>
              <w:jc w:val="center"/>
              <w:rPr>
                <w:szCs w:val="21"/>
              </w:rPr>
            </w:pPr>
            <w:r>
              <w:rPr>
                <w:rFonts w:hint="eastAsia"/>
                <w:szCs w:val="21"/>
              </w:rPr>
              <w:t>第十一条第二款第（三）项  广告有下列情形之一的，为虚假广告：（三）谎称商品或者服务经过审查批准、认证、公证的；</w:t>
            </w:r>
          </w:p>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第四条第一款  广告不得含有虚假或者引人误解的内容，不得欺骗、误导消费者。</w:t>
            </w:r>
          </w:p>
          <w:p>
            <w:pPr>
              <w:spacing w:line="280" w:lineRule="exact"/>
              <w:jc w:val="center"/>
              <w:rPr>
                <w:szCs w:val="21"/>
              </w:rPr>
            </w:pPr>
            <w:r>
              <w:rPr>
                <w:rFonts w:hint="eastAsia"/>
                <w:szCs w:val="21"/>
              </w:rPr>
              <w:t>第五十五条第一款  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广告活动必须符合法律的规定，真实、客观地宣传有关商品或者服务，不得谎称商品或者服务已经过审查批准、认证、公证，不得欺骗、误导消费者。</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7</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广告不得使用虚构、伪造的机构作证明。</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广告使用虚构、伪造的机构作证明。</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《江苏省广告条例》</w:t>
            </w:r>
          </w:p>
          <w:p>
            <w:pPr>
              <w:spacing w:line="280" w:lineRule="exact"/>
              <w:jc w:val="center"/>
              <w:rPr>
                <w:szCs w:val="21"/>
              </w:rPr>
            </w:pPr>
            <w:r>
              <w:rPr>
                <w:rFonts w:hint="eastAsia"/>
                <w:szCs w:val="21"/>
              </w:rPr>
              <w:t>第十一条第二款第（四）项  广告有下列情形之一的，为虚假广告：（四）使用虚构、伪造的机构作证明的；《中华人民共和国广告法》</w:t>
            </w:r>
          </w:p>
          <w:p>
            <w:pPr>
              <w:spacing w:line="280" w:lineRule="exact"/>
              <w:jc w:val="center"/>
              <w:rPr>
                <w:szCs w:val="21"/>
              </w:rPr>
            </w:pPr>
            <w:r>
              <w:rPr>
                <w:rFonts w:hint="eastAsia"/>
                <w:szCs w:val="21"/>
              </w:rPr>
              <w:t>第四条第一款  广告不得含有虚假或者引人误解的内容，不得欺骗、误导消费者。</w:t>
            </w:r>
          </w:p>
          <w:p>
            <w:pPr>
              <w:spacing w:line="280" w:lineRule="exact"/>
              <w:jc w:val="center"/>
              <w:rPr>
                <w:szCs w:val="21"/>
              </w:rPr>
            </w:pPr>
            <w:r>
              <w:rPr>
                <w:rFonts w:hint="eastAsia"/>
                <w:szCs w:val="21"/>
              </w:rPr>
              <w:t>第五十五条第一款  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广告活动必须符合法律的规定，真实、客观地宣传有关商品或者服务，不得使用虚构、伪造的机构作证明，不得欺骗、误导消费者。</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8</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广告不得利用其他广告参与者作虚假证明、认定或冒充专业人员进行宣传。</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广告利用广告代言人等其他广告参与者对商品或者服务作虚假证明、认定，或者利用非专业人员冒充专业人员进行宣传。</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《江苏省广告条例》</w:t>
            </w:r>
          </w:p>
          <w:p>
            <w:pPr>
              <w:spacing w:line="280" w:lineRule="exact"/>
              <w:jc w:val="center"/>
              <w:rPr>
                <w:szCs w:val="21"/>
              </w:rPr>
            </w:pPr>
            <w:r>
              <w:rPr>
                <w:rFonts w:hint="eastAsia"/>
                <w:szCs w:val="21"/>
              </w:rPr>
              <w:t>第十一条第二款第（五）项  广告有下列情形之一的，为虚假广告：（五）利用广告代言人等其他广告参与者对商品或者服务作虚假证明、认定，或者利用非专业人员冒充专业人员进行宣传的；</w:t>
            </w:r>
          </w:p>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第四条第一款  广告不得含有虚假或者引人误解的内容，不得欺骗、误导消费者。</w:t>
            </w:r>
          </w:p>
          <w:p>
            <w:pPr>
              <w:spacing w:line="280" w:lineRule="exact"/>
              <w:jc w:val="center"/>
              <w:rPr>
                <w:szCs w:val="21"/>
              </w:rPr>
            </w:pPr>
            <w:r>
              <w:rPr>
                <w:rFonts w:hint="eastAsia"/>
                <w:szCs w:val="21"/>
              </w:rPr>
              <w:t>第五十五条第一款  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活动必须符合法律的规定，真实、客观地宣传有关商品或者服务，不得利用广告代言人等其他广告参与者对商品或者服务作虚假证明、认定，或者利用非专业人员冒充专业人员进行宣传，不得欺骗、误导消费者。</w:t>
            </w:r>
          </w:p>
          <w:p>
            <w:pPr>
              <w:spacing w:line="280" w:lineRule="exact"/>
              <w:jc w:val="center"/>
              <w:rPr>
                <w:szCs w:val="21"/>
              </w:rPr>
            </w:pPr>
            <w:r>
              <w:rPr>
                <w:rFonts w:hint="eastAsia"/>
                <w:szCs w:val="21"/>
              </w:rPr>
              <w:t>广告代言人，是指广告主以外的，在广告中以自己的名义或者形象对商品、服务作推荐、证明的自然人、法人或者其他组织。</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9</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广告不得虚构断货、抢购、优惠。</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广告虚构断货、抢购、优惠，欺骗、误导消费者。</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《江苏省广告条例》</w:t>
            </w:r>
          </w:p>
          <w:p>
            <w:pPr>
              <w:spacing w:line="280" w:lineRule="exact"/>
              <w:jc w:val="center"/>
              <w:rPr>
                <w:szCs w:val="21"/>
              </w:rPr>
            </w:pPr>
            <w:r>
              <w:rPr>
                <w:rFonts w:hint="eastAsia"/>
                <w:szCs w:val="21"/>
              </w:rPr>
              <w:t>第十一条第二款第（六）项广告有下列情形之一的，为虚假广告：（六）虚构断货、抢购、优惠的；《中华人民共和国广告法》</w:t>
            </w:r>
          </w:p>
          <w:p>
            <w:pPr>
              <w:spacing w:line="280" w:lineRule="exact"/>
              <w:jc w:val="center"/>
              <w:rPr>
                <w:szCs w:val="21"/>
              </w:rPr>
            </w:pPr>
            <w:r>
              <w:rPr>
                <w:rFonts w:hint="eastAsia"/>
                <w:szCs w:val="21"/>
              </w:rPr>
              <w:t>第四条第一款广告不得含有虚假或者引人误解的内容，不得欺骗、误导消费者。</w:t>
            </w:r>
          </w:p>
          <w:p>
            <w:pPr>
              <w:spacing w:line="280" w:lineRule="exact"/>
              <w:jc w:val="center"/>
              <w:rPr>
                <w:szCs w:val="21"/>
              </w:rPr>
            </w:pPr>
            <w:r>
              <w:rPr>
                <w:rFonts w:hint="eastAsia"/>
                <w:szCs w:val="21"/>
              </w:rPr>
              <w:t>第五十五条第一款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广告活动必须符合法律的规定，真实、客观地宣传有关商品或者服务，不得虚构断货、抢购、优惠等内容，不得欺骗、误导消费者。</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10</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广告经营者、广告发布者明知或者应知广告虚假不得设计、制作、代理、发布。</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广告经营者、广告发布者存在主观过错，明知或者应知广告虚假仍设计、制作、代理、发布。</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五十五条第三款广告经营者、广告发布者明知或者应知广告虚假仍设计、制作、代理、发布的，由市场监督管理部门没收广告费用，并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并可以由有关部门暂停广告发布业务、吊销营业执照。</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经营者（接受委托提供广告设计、制作、代理服务的自然人、法人或者其他组织）、广告发布者（为广告主或者广告主委托的广告经营者发布广告的自然人、法人或者其他组织）明知或者应知广告虚假，不得设计、制作、代理、发布。</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11</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广告不得使用或者变相使用国家机关、国家机关工作人员的名义或者形象。</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广告宣传时使用领导人的照片或使用其名义。如，广告中使用“国家知识产权局副局长莅临**展位指导”字样，并带有该领导的照片；                                               注意：使用已故或者已经离任的国家领导人的名义或者形象进行广告宣传，其广告效果相当于使用现职国家机关工作人员名义或者形象做广告，如，广告图样中使用中国共产党早期领导人陈独秀的肖像画。</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 xml:space="preserve">《中华人民共和国广告法》 </w:t>
            </w:r>
          </w:p>
          <w:p>
            <w:pPr>
              <w:spacing w:line="280" w:lineRule="exact"/>
              <w:jc w:val="center"/>
              <w:rPr>
                <w:szCs w:val="21"/>
              </w:rPr>
            </w:pPr>
            <w:r>
              <w:rPr>
                <w:rFonts w:hint="eastAsia"/>
                <w:szCs w:val="21"/>
              </w:rPr>
              <w:t xml:space="preserve">第九条第（二）项 广告不得有下列情形：（二）使用或者变相使用国家机关、国家机关工作人员的名义或者形象；                 </w:t>
            </w:r>
          </w:p>
          <w:p>
            <w:pPr>
              <w:spacing w:line="280" w:lineRule="exact"/>
              <w:jc w:val="center"/>
              <w:rPr>
                <w:szCs w:val="21"/>
              </w:rPr>
            </w:pPr>
            <w:r>
              <w:rPr>
                <w:rFonts w:hint="eastAsia"/>
                <w:szCs w:val="21"/>
              </w:rPr>
              <w:t>第五十七条　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一）发布有本法第九条、第十条规定的禁止情形的广告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国家机关及其工作人员承担的是国家公共事务管理职责，不能从事任何营利性活动。借用国家机关及其工作人员身份开展商业宣传，不符合公平公正的价值导向。</w:t>
            </w:r>
          </w:p>
          <w:p>
            <w:pPr>
              <w:spacing w:line="280" w:lineRule="exact"/>
              <w:jc w:val="center"/>
              <w:rPr>
                <w:szCs w:val="21"/>
              </w:rPr>
            </w:pPr>
            <w:r>
              <w:rPr>
                <w:rFonts w:hint="eastAsia"/>
                <w:szCs w:val="21"/>
              </w:rPr>
              <w:t>因此，《广告法》绝对禁止使用或者变相使用国家机关、国家机关工作人员的名义或者形象开展商业广告宣传。尤其要注意，对于使用已故、离任的党和国家领导人名义或者形象进行商业广告宣传的，仍属于使用国家机关工作人员的名义或形象进行商业广告宣传的行为。</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12</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广告不得含有淫秽、色情、赌博、迷信、恐怖、暴力的内容。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淫秽”是指具体描绘性行为或者露骨宣扬色情；“色情”是指以撩起性兴奋为目的，而展示或描述人类身体或人类性行为的一种表现；“赌博”，是指用财物作注以一定方式争输赢的活动；“迷信”，是指相信命相、鬼神、风水、占星等的思想，例如“驱邪避凶”“点击您的生肖即可为您揭秘全年运程运势”；“恐怖”，是指使人面临危险情境，企图拜脱而又感到无能为力的心理状态；“暴力”，是指侵犯他人人身和财产安全的强暴行为。</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 xml:space="preserve">《中华人民共和国广告法》 </w:t>
            </w:r>
          </w:p>
          <w:p>
            <w:pPr>
              <w:spacing w:line="280" w:lineRule="exact"/>
              <w:jc w:val="center"/>
              <w:rPr>
                <w:szCs w:val="21"/>
              </w:rPr>
            </w:pPr>
            <w:r>
              <w:rPr>
                <w:rFonts w:hint="eastAsia"/>
                <w:szCs w:val="21"/>
              </w:rPr>
              <w:t xml:space="preserve">第九条第（八）项  广告不得有下列情形：（八）含有淫秽、色情、赌博、迷信、恐怖、暴力的内容；                                 </w:t>
            </w:r>
          </w:p>
          <w:p>
            <w:pPr>
              <w:spacing w:line="280" w:lineRule="exact"/>
              <w:jc w:val="center"/>
              <w:rPr>
                <w:szCs w:val="21"/>
              </w:rPr>
            </w:pPr>
            <w:r>
              <w:rPr>
                <w:rFonts w:hint="eastAsia"/>
                <w:szCs w:val="21"/>
              </w:rPr>
              <w:t>第五十七条　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一）发布有本法第九条、第十条规定的禁止情形的广告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淫秽、色情、赌博、迷信、恐怖、暴力的内容有损于社会良好道德风尚，违背社会主义精神文明建设的要求。对含有上述内容的广告，应当予以禁止。</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13</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广告不得使用绝对化用语。</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广告中使用：（1）最高级的形容词；（2）以一定的地域、整体作为形容词；（3）效果等同于最高级的。</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第九条第（三）项  广告不得有下列情形：（三）使用“国家级”、“最高级”、“最佳”等用语；</w:t>
            </w:r>
          </w:p>
          <w:p>
            <w:pPr>
              <w:spacing w:line="280" w:lineRule="exact"/>
              <w:jc w:val="center"/>
              <w:rPr>
                <w:szCs w:val="21"/>
              </w:rPr>
            </w:pPr>
            <w:r>
              <w:rPr>
                <w:rFonts w:hint="eastAsia"/>
                <w:szCs w:val="21"/>
              </w:rPr>
              <w:t>第五十七条第（一）项  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w:t>
            </w:r>
          </w:p>
          <w:p>
            <w:pPr>
              <w:spacing w:line="280" w:lineRule="exact"/>
              <w:jc w:val="center"/>
              <w:rPr>
                <w:szCs w:val="21"/>
              </w:rPr>
            </w:pPr>
            <w:r>
              <w:rPr>
                <w:rFonts w:hint="eastAsia"/>
                <w:szCs w:val="21"/>
              </w:rPr>
              <w:t>（一）发布有本法第九条、第十条规定的禁止情形的广告的；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广告在介绍商品和服务时可以使用一般的描述商品和服务情况的用语，但不能使用“国家级”、“最高级”、“最佳”等绝对化用语。</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14</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广告使用的引证内容应当真实、准确，并表明出处，有适用范围和有效期限的应明确表示。</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广告中使用一些不真实或者不正确的数据、统计资料、调查结果、文摘、引用语，或者在使用时不表明出处，内容含糊；</w:t>
            </w:r>
          </w:p>
          <w:p>
            <w:pPr>
              <w:spacing w:line="280" w:lineRule="exact"/>
              <w:jc w:val="center"/>
              <w:rPr>
                <w:szCs w:val="21"/>
              </w:rPr>
            </w:pPr>
            <w:r>
              <w:rPr>
                <w:rFonts w:hint="eastAsia"/>
                <w:szCs w:val="21"/>
              </w:rPr>
              <w:t>印证内容在广告中的使用超过合理程度，或者与有关材料原意相背，给消费者造成误解；</w:t>
            </w:r>
          </w:p>
          <w:p>
            <w:pPr>
              <w:spacing w:line="280" w:lineRule="exact"/>
              <w:jc w:val="center"/>
              <w:rPr>
                <w:szCs w:val="21"/>
              </w:rPr>
            </w:pPr>
            <w:r>
              <w:rPr>
                <w:rFonts w:hint="eastAsia"/>
                <w:szCs w:val="21"/>
              </w:rPr>
              <w:t>印证内容超出适用范围或有效期限，误导消费者。</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第十一条第二款  广告使用数据、统计资料、调查结果、文摘、引用语等引证内容的，应当真实、准确，并表明出处。引证内容有适用范围和有效期限的，应当明确表示。</w:t>
            </w:r>
          </w:p>
          <w:p>
            <w:pPr>
              <w:spacing w:line="280" w:lineRule="exact"/>
              <w:jc w:val="center"/>
              <w:rPr>
                <w:szCs w:val="21"/>
              </w:rPr>
            </w:pPr>
            <w:r>
              <w:rPr>
                <w:rFonts w:hint="eastAsia"/>
                <w:szCs w:val="21"/>
              </w:rPr>
              <w:t>第五十九条第一款第（二）项  有下列行为之一的，由市场监督管理部门责令停止发布广告，对广告主处十万元以下的罚款：（二）广告引证内容违反本法第十一条规定的；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广告使用数据、统计资料、调查结果、文摘、引用语等引证内容的，应当真实、准确，并表明出处。</w:t>
            </w:r>
          </w:p>
          <w:p>
            <w:pPr>
              <w:spacing w:line="280" w:lineRule="exact"/>
              <w:jc w:val="center"/>
              <w:rPr>
                <w:szCs w:val="21"/>
              </w:rPr>
            </w:pPr>
            <w:r>
              <w:rPr>
                <w:rFonts w:hint="eastAsia"/>
                <w:szCs w:val="21"/>
              </w:rPr>
              <w:t>引证内容有适用范围和有效期限的，应当明确表示。</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15</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广告中涉及专利产品或者专利方法的，应当标明专利明专利号和专利种类。</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广告中涉及专利产品或者专利方法，专利有效，但未标明专利明专利号和专利种类。</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第十二条第一款  广告中涉及专利产品或者专利方法的，应当标明专利号和专利种类。</w:t>
            </w:r>
          </w:p>
          <w:p>
            <w:pPr>
              <w:spacing w:line="280" w:lineRule="exact"/>
              <w:jc w:val="center"/>
              <w:rPr>
                <w:szCs w:val="21"/>
              </w:rPr>
            </w:pPr>
            <w:r>
              <w:rPr>
                <w:rFonts w:hint="eastAsia"/>
                <w:szCs w:val="21"/>
              </w:rPr>
              <w:t>第五十九条第一款第（三）项  有下列行为之一的，由市场监督管理部门责令停止发布广告，对广告主处十万元以下的罚款：（三）涉及专利的广告违反本法第十二条规定的；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为避免引起社会公众的误解和保证涉及专利产品或者专利方法的广告的真实性，涉及专利产品或者专利方法的广告，应当标明专利号和专利种类。</w:t>
            </w:r>
          </w:p>
          <w:p>
            <w:pPr>
              <w:spacing w:line="280" w:lineRule="exact"/>
              <w:jc w:val="center"/>
              <w:rPr>
                <w:szCs w:val="21"/>
              </w:rPr>
            </w:pPr>
            <w:r>
              <w:rPr>
                <w:rFonts w:hint="eastAsia"/>
                <w:szCs w:val="21"/>
              </w:rPr>
              <w:t>专利号是指国家在授予专利权时在专利证书上载明的用于区别其他专利的号码。</w:t>
            </w:r>
          </w:p>
          <w:p>
            <w:pPr>
              <w:spacing w:line="280" w:lineRule="exact"/>
              <w:jc w:val="center"/>
              <w:rPr>
                <w:szCs w:val="21"/>
              </w:rPr>
            </w:pPr>
            <w:r>
              <w:rPr>
                <w:rFonts w:hint="eastAsia"/>
                <w:szCs w:val="21"/>
              </w:rPr>
              <w:t>专利种类是指《专利法》对其保护对象及发明创造的分类，分为发明专利、实用新型专利和外观设计专利。</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16</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未取得专利权的不得在广告中谎称取得。</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未取得专利权的，在广告中谎称取得专利权。</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第十二条第二款  未取得专利权的，不得在广告中谎称取得专利权。</w:t>
            </w:r>
          </w:p>
          <w:p>
            <w:pPr>
              <w:spacing w:line="280" w:lineRule="exact"/>
              <w:jc w:val="center"/>
              <w:rPr>
                <w:szCs w:val="21"/>
              </w:rPr>
            </w:pPr>
            <w:r>
              <w:rPr>
                <w:rFonts w:hint="eastAsia"/>
                <w:szCs w:val="21"/>
              </w:rPr>
              <w:t>第五十九条第一款第（三）项  有下列行为之一的，由市场监督管理部门责令停止发布广告，对广告主处十万元以下的罚款：（三）涉及专利的广告违反本法第十二条规定的；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专利权是一项国家法律赋予的权利，需要向专利行政部门提出专利申请，经专利行政部门审查核准后，方可取得。未取得专利权的，不得在广告中谎称取得专利权。</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17</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禁止使用未授予专利权的专利申请和已经终止、撤销、无效的专利作广告。</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使用未授予专利权的专利申请或已经终止、撤销、无效的专利作广告。</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第十二条第三款  禁止使用未授予专利权的专利申请和已经终止、撤销、无效的专利作广告。</w:t>
            </w:r>
          </w:p>
          <w:p>
            <w:pPr>
              <w:spacing w:line="280" w:lineRule="exact"/>
              <w:jc w:val="center"/>
              <w:rPr>
                <w:szCs w:val="21"/>
              </w:rPr>
            </w:pPr>
            <w:r>
              <w:rPr>
                <w:rFonts w:hint="eastAsia"/>
                <w:szCs w:val="21"/>
              </w:rPr>
              <w:t>第五十九条第一款第（三）项  有下列行为之一的，由市场监督管理部门责令停止发布广告，对广告主处十万元以下的罚款：（三）涉及专利的广告违反本法第十二条规定的；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专利申请是指专利申请人以书面形式请求国家专利行政部门授予发明创造专利权的法律行为。专利申请并不能表明一定能取得专利权，为避免消费者误解，禁止使用未授予专利权的专利申请做广告。</w:t>
            </w:r>
          </w:p>
          <w:p>
            <w:pPr>
              <w:spacing w:line="280" w:lineRule="exact"/>
              <w:jc w:val="center"/>
              <w:rPr>
                <w:szCs w:val="21"/>
              </w:rPr>
            </w:pPr>
            <w:r>
              <w:rPr>
                <w:rFonts w:hint="eastAsia"/>
                <w:szCs w:val="21"/>
              </w:rPr>
              <w:t>专利权终止是指专利权效力的丧失，包括期限届满终止和期限届满前终止。发明专利权的期限为二十年，实用新型专利权的期限为十年，外观设计专利权的期限为十五年，均自申请日起计算。期限届满前终止包括没有按照规定缴纳年费、专利权人以书面声明放弃其专利权两种情形。</w:t>
            </w:r>
          </w:p>
          <w:p>
            <w:pPr>
              <w:spacing w:line="280" w:lineRule="exact"/>
              <w:jc w:val="center"/>
              <w:rPr>
                <w:szCs w:val="21"/>
              </w:rPr>
            </w:pPr>
            <w:r>
              <w:rPr>
                <w:rFonts w:hint="eastAsia"/>
                <w:szCs w:val="21"/>
              </w:rPr>
              <w:t>专利的无效是指自国务院专利行政部门公告授予专利权之日起，任何单位或者个人认为该专利权的授予不符合《专利法》有关规定的，可以请求国务院专利行政部门宣告该专利权无效。宣告无效的专利权视为自始即不存在。</w:t>
            </w:r>
          </w:p>
          <w:p>
            <w:pPr>
              <w:spacing w:line="280" w:lineRule="exact"/>
              <w:jc w:val="center"/>
              <w:rPr>
                <w:szCs w:val="21"/>
              </w:rPr>
            </w:pPr>
            <w:r>
              <w:rPr>
                <w:rFonts w:hint="eastAsia"/>
                <w:szCs w:val="21"/>
              </w:rPr>
              <w:t>撤销专利的有关规定已并入宣告专利无效的条款。</w:t>
            </w:r>
          </w:p>
          <w:p>
            <w:pPr>
              <w:spacing w:line="280" w:lineRule="exact"/>
              <w:jc w:val="center"/>
              <w:rPr>
                <w:szCs w:val="21"/>
              </w:rPr>
            </w:pPr>
            <w:r>
              <w:rPr>
                <w:rFonts w:hint="eastAsia"/>
                <w:szCs w:val="21"/>
              </w:rPr>
              <w:t>已经终止、撤销或无效的专利不再得到保护。</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18</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广告不得含有虚构、夸大他人的商品或者服务不足的贬低内容。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广告的内容表现为通过比较，虚构、夸大竞争对象的商品或者服务在质量、工艺、技术、价格等方面存在的不足或者问题，产生诋毁他人商业信誉的效果，以削弱其竞争能力。</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《江苏省广告条例》</w:t>
            </w:r>
          </w:p>
          <w:p>
            <w:pPr>
              <w:spacing w:line="280" w:lineRule="exact"/>
              <w:jc w:val="center"/>
              <w:rPr>
                <w:szCs w:val="21"/>
              </w:rPr>
            </w:pPr>
            <w:r>
              <w:rPr>
                <w:rFonts w:hint="eastAsia"/>
                <w:szCs w:val="21"/>
              </w:rPr>
              <w:t>第十条第（一）项  广告不得含有下列贬低他人的商品或者服务的内容：（一）虚构、夸大他人的商品或者服务不足的；</w:t>
            </w:r>
          </w:p>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第十三条  广告不得贬低其他生产经营者的商品或者服务。</w:t>
            </w:r>
          </w:p>
          <w:p>
            <w:pPr>
              <w:spacing w:line="280" w:lineRule="exact"/>
              <w:jc w:val="center"/>
              <w:rPr>
                <w:szCs w:val="21"/>
              </w:rPr>
            </w:pPr>
            <w:r>
              <w:rPr>
                <w:rFonts w:hint="eastAsia"/>
                <w:szCs w:val="21"/>
              </w:rPr>
              <w:t>第五十九条第一款第（四）项  有下列行为之一的，由市场监督管理部门责令停止发布广告，对广告主处十万元以下的罚款：（四）违反本法第十三条规定，广告贬低其他生产经营者的商品或者服务的。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广告不得含有虚构、夸大他人生产经营的商品或者服务存在不足的贬低内容，对相同的或者近似的一个或者一组商品或者服务进行不公正的评价。</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19</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广告不得含有利用没有法律、法规依据的认定、评比、</w:t>
            </w:r>
          </w:p>
          <w:p>
            <w:pPr>
              <w:spacing w:line="280" w:lineRule="exact"/>
              <w:jc w:val="center"/>
              <w:rPr>
                <w:szCs w:val="21"/>
              </w:rPr>
            </w:pPr>
            <w:r>
              <w:rPr>
                <w:rFonts w:hint="eastAsia"/>
                <w:szCs w:val="21"/>
              </w:rPr>
              <w:t>排序结果贬低他人的商品或者服务的内容。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广告含有利用没有法律、法规依据的认定、评比、排序结果（“排行榜”“推荐品牌”等），与他人的商品或者服务作对比，借以突出自己的商品或者服务，贬低其他生产经营者的商品或者服务的内容。</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《江苏省广告条例》</w:t>
            </w:r>
          </w:p>
          <w:p>
            <w:pPr>
              <w:spacing w:line="280" w:lineRule="exact"/>
              <w:jc w:val="center"/>
              <w:rPr>
                <w:szCs w:val="21"/>
              </w:rPr>
            </w:pPr>
            <w:r>
              <w:rPr>
                <w:rFonts w:hint="eastAsia"/>
                <w:szCs w:val="21"/>
              </w:rPr>
              <w:t>第十条第（二）项  广告不得含有下列贬低他人的商品或者服务的内容：（二）利用没有法律、法规依据的认定、评比、排序结果，与他人的商品或者服务作对比，借以突出自己的商品或者服务的；</w:t>
            </w:r>
          </w:p>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第十三条  广告不得贬低其他生产经营者的商品或者服务。</w:t>
            </w:r>
          </w:p>
          <w:p>
            <w:pPr>
              <w:spacing w:line="280" w:lineRule="exact"/>
              <w:jc w:val="center"/>
              <w:rPr>
                <w:szCs w:val="21"/>
              </w:rPr>
            </w:pPr>
            <w:r>
              <w:rPr>
                <w:rFonts w:hint="eastAsia"/>
                <w:szCs w:val="21"/>
              </w:rPr>
              <w:t>第五十九条第一款第（四）项  有下列行为之一的，由市场监督管理部门责令停止发布广告，对广告主处十万元以下的罚款：（四）违反本法第十三条规定，广告贬低其他生产经营者的商品或者服务的。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不得利用没有法律、法规依据的认定、评比、排序结果，与他人的商品或者服务作对比，对相同的或者近似的一个或者一组商品或者服务进行不公正的评价，借以突出自己的商品或者服务。</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20</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药品、医疗、医疗器械、特殊医学用途配方食品广告不得含有表示功效、安全性的断言或者保证。</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药品、医疗、医疗器械、特殊医学用途配方食品广告含有表示功效、安全性的断言或者保证。</w:t>
            </w:r>
          </w:p>
          <w:p>
            <w:pPr>
              <w:spacing w:line="280" w:lineRule="exact"/>
              <w:jc w:val="center"/>
              <w:rPr>
                <w:szCs w:val="21"/>
              </w:rPr>
            </w:pP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《江苏省广告条例》</w:t>
            </w:r>
          </w:p>
          <w:p>
            <w:pPr>
              <w:spacing w:line="280" w:lineRule="exact"/>
              <w:jc w:val="center"/>
              <w:rPr>
                <w:szCs w:val="21"/>
              </w:rPr>
            </w:pPr>
            <w:r>
              <w:rPr>
                <w:rFonts w:hint="eastAsia"/>
                <w:szCs w:val="21"/>
              </w:rPr>
              <w:t>第十四条第（一）项  药品、医疗、医疗器械、特殊医学用途配方食品广告不得含有下列内容：（一）表示功效、安全性的断言或者保证的；</w:t>
            </w:r>
          </w:p>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第十六条第一款第（一）项  医疗、药品、医疗器械广告不得含有下列内容：（一）表示功效、安全性的断言或者保证；</w:t>
            </w:r>
          </w:p>
          <w:p>
            <w:pPr>
              <w:spacing w:line="280" w:lineRule="exact"/>
              <w:jc w:val="center"/>
              <w:rPr>
                <w:szCs w:val="21"/>
              </w:rPr>
            </w:pPr>
            <w:r>
              <w:rPr>
                <w:rFonts w:hint="eastAsia"/>
                <w:szCs w:val="21"/>
              </w:rPr>
              <w:t>第五十八条第一款第（一）项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一）违反本法第十六条规定发布医疗、药品、医疗器械广告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药品、医疗、医疗器械、特殊医学用途配方食品广告不得含有表示功效、安全性的断言或者保证。</w:t>
            </w:r>
          </w:p>
          <w:p>
            <w:pPr>
              <w:spacing w:line="280" w:lineRule="exact"/>
              <w:jc w:val="center"/>
              <w:rPr>
                <w:szCs w:val="21"/>
              </w:rPr>
            </w:pPr>
            <w:r>
              <w:rPr>
                <w:rFonts w:hint="eastAsia"/>
                <w:szCs w:val="21"/>
              </w:rPr>
              <w:t>1、药品广告的内容应当以国务院药品监督管理部门核准的说明书为准。药品广告涉及药品名称、药品适应症或者功能主治、药理作用等内容的，不得超出说明书范围。药品广告应当显著标明禁忌、不良反应，处方药广告还应当显著标明“本广告仅供医学药学专业人士阅读”，非处方药广告还应当显著标明非处方药标识（OTC）和“请按药品说明书或者在药师指导下购买和使用”。</w:t>
            </w:r>
          </w:p>
          <w:p>
            <w:pPr>
              <w:spacing w:line="280" w:lineRule="exact"/>
              <w:jc w:val="center"/>
              <w:rPr>
                <w:szCs w:val="21"/>
              </w:rPr>
            </w:pPr>
            <w:r>
              <w:rPr>
                <w:rFonts w:hint="eastAsia"/>
                <w:szCs w:val="21"/>
              </w:rPr>
              <w:t>2、医疗器械广告的内容应当以药品监督管理部门批准的注册证书或者备案凭证、注册或者备案的产品说明书内容为准。</w:t>
            </w:r>
          </w:p>
          <w:p>
            <w:pPr>
              <w:spacing w:line="280" w:lineRule="exact"/>
              <w:jc w:val="center"/>
              <w:rPr>
                <w:szCs w:val="21"/>
              </w:rPr>
            </w:pPr>
            <w:r>
              <w:rPr>
                <w:rFonts w:hint="eastAsia"/>
                <w:szCs w:val="21"/>
              </w:rPr>
              <w:t>医疗器械广告涉及医疗器械名称、适用范围、作用机理或者结构及组成等内容的，不得超出注册证书或者备案凭证、注册或者备案的产品说明书范围。推荐给个人自用的医疗器械的广告，应当显著标明“请仔细阅读产品说明书或者在医务人员的指导下购买和使用”。医疗器械产品注册证书中有禁忌内容、注意事项的，广告应当显著标明''禁忌内容或者注意事项详见说明书”。</w:t>
            </w:r>
          </w:p>
          <w:p>
            <w:pPr>
              <w:spacing w:line="280" w:lineRule="exact"/>
              <w:jc w:val="center"/>
              <w:rPr>
                <w:szCs w:val="21"/>
              </w:rPr>
            </w:pPr>
            <w:r>
              <w:rPr>
                <w:rFonts w:hint="eastAsia"/>
                <w:szCs w:val="21"/>
              </w:rPr>
              <w:t>3、特殊医学用途配方食品广告的内容应当以国家市场监督管理总局批准的注册证书和产品标签、说明书为准。特殊医学用途配方食品广告涉及产品名称、配方、营养学特征、适用人群等内容的，不得超出注册证书、产品标签、说明书范围。</w:t>
            </w:r>
          </w:p>
          <w:p>
            <w:pPr>
              <w:spacing w:line="280" w:lineRule="exact"/>
              <w:jc w:val="center"/>
              <w:rPr>
                <w:szCs w:val="21"/>
              </w:rPr>
            </w:pPr>
            <w:r>
              <w:rPr>
                <w:rFonts w:hint="eastAsia"/>
                <w:szCs w:val="21"/>
              </w:rPr>
              <w:t>特殊医学用途配方食品广告应当显著标明适用人群、“不适用于非目标人群使用”“请在医生或者临床营养师指导下使用”。</w:t>
            </w:r>
          </w:p>
          <w:p>
            <w:pPr>
              <w:spacing w:line="280" w:lineRule="exact"/>
              <w:jc w:val="center"/>
              <w:rPr>
                <w:szCs w:val="21"/>
              </w:rPr>
            </w:pPr>
            <w:r>
              <w:rPr>
                <w:rFonts w:hint="eastAsia"/>
                <w:szCs w:val="21"/>
              </w:rPr>
              <w:t>4.医疗广告，是指利用各种媒介或者形式直接或间接介绍医疗机构或医疗服务的广告。医疗机构发布医疗广告，应当在发布前申请医疗广告审查。未取得《医疗广告审查证明》，不得发布医疗广告。</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21</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药品、医疗、医疗器械、特殊医学用途配方食品广告不得含有宣传治愈率、有效率的内容。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药品、医疗、医疗器械、特殊医学用途配方食品广告宣传治愈率、有效率。</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《江苏省广告条例》</w:t>
            </w:r>
          </w:p>
          <w:p>
            <w:pPr>
              <w:spacing w:line="280" w:lineRule="exact"/>
              <w:jc w:val="center"/>
              <w:rPr>
                <w:szCs w:val="21"/>
              </w:rPr>
            </w:pPr>
            <w:r>
              <w:rPr>
                <w:rFonts w:hint="eastAsia"/>
                <w:szCs w:val="21"/>
              </w:rPr>
              <w:t>第十四条第（二）项  药品、医疗、医疗器械、特殊医学用途配方食品广告不得含有下列内容：（二）宣传治愈率、有效率的；</w:t>
            </w:r>
          </w:p>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第十六条第一款第（二）项  医疗、药品、医疗器械广告不得含有下列内容：（二）说明治愈率或者有效率；</w:t>
            </w:r>
          </w:p>
          <w:p>
            <w:pPr>
              <w:spacing w:line="280" w:lineRule="exact"/>
              <w:jc w:val="center"/>
              <w:rPr>
                <w:szCs w:val="21"/>
              </w:rPr>
            </w:pPr>
            <w:r>
              <w:rPr>
                <w:rFonts w:hint="eastAsia"/>
                <w:szCs w:val="21"/>
              </w:rPr>
              <w:t>第五十八条第一款第（一）项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一）违反本法第十六条规定发布医疗、药品、医疗器械广告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药品、医疗、医疗器械、特殊医学用途配方食品的治愈率或者有效率通常是该商品或服务在生产检验或临床试验中取得的数据，由于患者和消费者个体差异，针对不同患者和消费者可能会收到不同的效果，故实验或临床试验中取得的治愈率、有效率不能随意推广。因此，药品、医疗、医疗器械、特殊医学用途配方食品广告不得宣传治愈率、有效率。</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22</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药品、医疗、医疗器械、特殊医学用途配方食品广告不得含有与其他药品、医疗器械的功效和安全性或者其他医疗机构比较的内容。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药品、医疗、医疗器械、特殊医学用途配方食品广告与其他药品、医疗器械的功效和安全性或者其他医疗机构比较的。</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《江苏省广告条例》</w:t>
            </w:r>
          </w:p>
          <w:p>
            <w:pPr>
              <w:spacing w:line="280" w:lineRule="exact"/>
              <w:jc w:val="center"/>
              <w:rPr>
                <w:szCs w:val="21"/>
              </w:rPr>
            </w:pPr>
            <w:r>
              <w:rPr>
                <w:rFonts w:hint="eastAsia"/>
                <w:szCs w:val="21"/>
              </w:rPr>
              <w:t>第十四条第（三）项  药品、医疗、医疗器械、特殊医学用途配方食品广告不得含有下列内容：（三）与其他药品、医疗器械的功效和安全性或者其他医疗机构比较的；</w:t>
            </w:r>
          </w:p>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第十六条第一款第（三）项  医疗、药品、医疗器械广告不得含有下列内容：（三）与其他药品、医疗器械的功效和安全性或者其他医疗机构比较；</w:t>
            </w:r>
          </w:p>
          <w:p>
            <w:pPr>
              <w:spacing w:line="280" w:lineRule="exact"/>
              <w:jc w:val="center"/>
              <w:rPr>
                <w:szCs w:val="21"/>
              </w:rPr>
            </w:pPr>
            <w:r>
              <w:rPr>
                <w:rFonts w:hint="eastAsia"/>
                <w:szCs w:val="21"/>
              </w:rPr>
              <w:t>第五十八条第一款第（一）项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一）违反本法第十六条规定发布医疗、药品、医疗器械广告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药品、医疗器械、医疗服务一般是针对某种、某类病情，适用情况存在差异，因此，药品、医疗、医疗器械、特殊医学用途配方食品广告不得与其他药品、医疗器械的功效和安全性或者其他医疗机构进行比较。</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23</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药品、医疗、医疗器械、特殊医学用途配方食品广告不得利用广告代言人作推荐、证明。</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药品、医疗、医疗器械、特殊医学用途配方食品广告利用患者、医务人员和有关专业人员，或者医药科研单位、学术机构、医疗机构以及其他广告代言人的名义、形象作推荐、证明的。</w:t>
            </w:r>
          </w:p>
          <w:p>
            <w:pPr>
              <w:spacing w:line="280" w:lineRule="exact"/>
              <w:jc w:val="center"/>
              <w:rPr>
                <w:szCs w:val="21"/>
              </w:rPr>
            </w:pP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《江苏省广告条例》</w:t>
            </w:r>
          </w:p>
          <w:p>
            <w:pPr>
              <w:spacing w:line="280" w:lineRule="exact"/>
              <w:jc w:val="center"/>
              <w:rPr>
                <w:szCs w:val="21"/>
              </w:rPr>
            </w:pPr>
            <w:r>
              <w:rPr>
                <w:rFonts w:hint="eastAsia"/>
                <w:szCs w:val="21"/>
              </w:rPr>
              <w:t>第十四条第（四）项  药品、医疗、医疗器械、特殊医学用途配方食品广告不得含有下列内容：（四）利用患者、医务人员和有关专业人员，或者医药科研单位、学术机构、医疗机构以及其他广告代言人的名义、形象作推荐、证明的；《中华人民共和国广告法》</w:t>
            </w:r>
          </w:p>
          <w:p>
            <w:pPr>
              <w:spacing w:line="280" w:lineRule="exact"/>
              <w:jc w:val="center"/>
              <w:rPr>
                <w:szCs w:val="21"/>
              </w:rPr>
            </w:pPr>
            <w:r>
              <w:rPr>
                <w:rFonts w:hint="eastAsia"/>
                <w:szCs w:val="21"/>
              </w:rPr>
              <w:t>第十六条第一款第（四）项  医疗、药品、医疗器械广告不得含有下列内容：（四）利用广告代言人作推荐、证明；</w:t>
            </w:r>
          </w:p>
          <w:p>
            <w:pPr>
              <w:spacing w:line="280" w:lineRule="exact"/>
              <w:jc w:val="center"/>
              <w:rPr>
                <w:szCs w:val="21"/>
              </w:rPr>
            </w:pPr>
            <w:r>
              <w:rPr>
                <w:rFonts w:hint="eastAsia"/>
                <w:szCs w:val="21"/>
              </w:rPr>
              <w:t>第五十八条第一款第（一）项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一）违反本法第十六条规定发布医疗、药品、医疗器械广告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药品、医疗、医疗器械、特殊医学用途配方食品广告不得利用患者、医务人员和有关专业人员，或者医药科研单位、学术机构、医疗机构以及其他广告代言人的名义、形象作推荐、证明。</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24</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禁止在非医疗、药品、医疗器械广告中涉及疾病治疗功能和使用医疗用语。</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在非药品、非医疗器械和非医疗广告中，使用与疾病或健康有关的用语来误导和欺骗消费者，且这种现象在食品广告、保健品广告、酒类广告和化妆品广告中尤为严重。</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《江苏省广告条例》</w:t>
            </w:r>
          </w:p>
          <w:p>
            <w:pPr>
              <w:spacing w:line="280" w:lineRule="exact"/>
              <w:jc w:val="center"/>
              <w:rPr>
                <w:szCs w:val="21"/>
              </w:rPr>
            </w:pPr>
            <w:r>
              <w:rPr>
                <w:rFonts w:hint="eastAsia"/>
                <w:szCs w:val="21"/>
              </w:rPr>
              <w:t>第十五条  除医疗、药品、医疗器械广告外，食品、保健用品、消毒产品、化妆品、美容美体服务等其他任何广告不得涉及疾病治疗功能，并不得使用医疗用语或者易使推销的商品与药品、医疗器械相混淆的用语。</w:t>
            </w:r>
          </w:p>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第十七条  除医疗、药品、医疗器械广告外，禁止其他任何广告涉及疾病治疗功能，并不得使用医疗用语或者易使推销的商品与药品、医疗器械相混淆的用语。</w:t>
            </w:r>
          </w:p>
          <w:p>
            <w:pPr>
              <w:spacing w:line="280" w:lineRule="exact"/>
              <w:jc w:val="center"/>
              <w:rPr>
                <w:szCs w:val="21"/>
              </w:rPr>
            </w:pPr>
            <w:r>
              <w:rPr>
                <w:rFonts w:hint="eastAsia"/>
                <w:szCs w:val="21"/>
              </w:rPr>
              <w:t>第五十八条第一款第（二）项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二）违反本法第十七条规定，在广告中涉及疾病治疗功能，以及使用医疗用语或者易使推销的商品与药品、医疗器械相混淆的用语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除医疗、药品、医疗器械广告外，禁止其他任何广告涉及疾病治疗功能，并不得使用医疗用语或者易使推销的商品与药品、医疗器械相混淆的用语。</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25</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招商等有投资回报预期的商品或者服务广告不得含有禁止性内容。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广告中存在对未来效果、收益作出保证性承诺，明示或者暗示保本、无风险等内容的情况，且多发于保险、期货、债权等商品或服务领域。</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第二十五条第（一）项  招商等有投资回报预期的商品或者服务广告，应当对可能存在的风险以及风险责任承担有合理提示或者警示，并不得含有下列内容：（一）对未来效果、收益或者与其相关的情况作出保证性承诺，明示或者暗示保本、无风险或者保收益等，国家另有规定的除外；</w:t>
            </w:r>
          </w:p>
          <w:p>
            <w:pPr>
              <w:spacing w:line="280" w:lineRule="exact"/>
              <w:jc w:val="center"/>
              <w:rPr>
                <w:szCs w:val="21"/>
              </w:rPr>
            </w:pPr>
            <w:r>
              <w:rPr>
                <w:rFonts w:hint="eastAsia"/>
                <w:szCs w:val="21"/>
              </w:rPr>
              <w:t>第五十八条第一款第（七）项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七）违反本法第二十五条规定发布招商等有投资回报预期的商品或者服务广告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招商等有投资回报预期的商品或者服务广告，应当对可能存在的风险以及风险责任承担有合理提示或者警示，并不得含有对未来效果、收益或者与其相关的情况作出保证性承诺，明示或者暗示保本、无风险或者保收益等，国家另有规定的除外。</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26</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房地产广告，房源信息应当真实，面积应当表明为建筑面积或者套内建筑面积。</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房地产广告房源信息不真实，面积未表明为建筑面积或者套内建筑面积。</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第二十六条  房地产广告，房源信息应当真实，面积应当表明为建筑面积或者套内建筑面积，并不得含有下列内容：</w:t>
            </w:r>
          </w:p>
          <w:p>
            <w:pPr>
              <w:spacing w:line="280" w:lineRule="exact"/>
              <w:jc w:val="center"/>
              <w:rPr>
                <w:szCs w:val="21"/>
              </w:rPr>
            </w:pPr>
            <w:r>
              <w:rPr>
                <w:rFonts w:hint="eastAsia"/>
                <w:szCs w:val="21"/>
              </w:rPr>
              <w:t>第五十八条第一款第（八）项  有下列行为之一的，由市场监督管理部门责令停止发布广告，责令广告主在相应范围内消除影响，处广告费用一倍以上二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八）违反本法第二十六条规定发布房地产广告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房地产开发企业、房地产权利人、房地产中介服务机构发布的房地产项目预售、预租、出售、出租、项目转让以及其他房地产项目介绍的广告，房源信息应当真实，面积应当表明为建筑面积或者套内建筑面积。</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27</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房地产广告不得含有升值或者投资回报的承诺。</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房地产广告含有对房屋的投资回报率、租金回报率、房产年升值率等进行没有根据或保障的夸大型宣传。</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第二十六条  第（一）项房地产广告，房源信息应当真实，面积应当表明为建筑面积或者套内建筑面积，并不得含有下列内容：（一）升值或者投资回报的承诺；</w:t>
            </w:r>
          </w:p>
          <w:p>
            <w:pPr>
              <w:spacing w:line="280" w:lineRule="exact"/>
              <w:jc w:val="center"/>
              <w:rPr>
                <w:szCs w:val="21"/>
              </w:rPr>
            </w:pPr>
            <w:r>
              <w:rPr>
                <w:rFonts w:hint="eastAsia"/>
                <w:szCs w:val="21"/>
              </w:rPr>
              <w:t>第五十八条  第一款第（八）项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八）违反本法第二十六条规定发布房地产广告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房地产开发企业、房地产权利人、房地产中介服务机构发布的房地产项目预售、预租、出售、出租、项目转让以及其他房地产项目介绍的广告，不得含有升值或者投资回报的承诺。</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28</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房地产广告应准确、清楚明示房地</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房地产广告未准确、清楚明示房地产开发建设项目位置，以项目到达某一具体参照物的所需时间表示项目位置。</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《江苏省广告条例》</w:t>
            </w:r>
          </w:p>
          <w:p>
            <w:pPr>
              <w:spacing w:line="280" w:lineRule="exact"/>
              <w:jc w:val="center"/>
              <w:rPr>
                <w:szCs w:val="21"/>
              </w:rPr>
            </w:pPr>
            <w:r>
              <w:rPr>
                <w:rFonts w:hint="eastAsia"/>
                <w:szCs w:val="21"/>
              </w:rPr>
              <w:t xml:space="preserve"> 第十八条第（一）项  房地产广告应当符合下列规定：（一）明示房地产开发建设项目位置的，应当准确、清楚，不得以项目到达某一具体参照物的所需时间来表示距离；</w:t>
            </w:r>
          </w:p>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第二十六条第（二）  项房地产广告，房源信息应当真实，面积应当表明为建筑面积或者套内建筑面积，并不得含有下列内容：（二）以项目到达某一具体参照物的所需时间表示项目位置；</w:t>
            </w:r>
          </w:p>
          <w:p>
            <w:pPr>
              <w:spacing w:line="280" w:lineRule="exact"/>
              <w:jc w:val="center"/>
              <w:rPr>
                <w:szCs w:val="21"/>
              </w:rPr>
            </w:pPr>
            <w:r>
              <w:rPr>
                <w:rFonts w:hint="eastAsia"/>
                <w:szCs w:val="21"/>
              </w:rPr>
              <w:t>第五十八条第一款第（八）项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八）违反本法第二十六条规定发布房地产广告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房地产开发企业、房地产权利人、房地产中介服务机构发布的房地产项目预售、预租、出售、出租、项目转让以及其他房地产项目介绍的广告，应准确、清楚明示房地产开发建设项目位置，不得以项目到达某一具体参照物的所需时间来表示距离。</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29</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房地产广告不得对规划或者建设中的交通、商业、文化教育设施以及其他市政条件作误导宣传。</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房地产广告对规划或者建设中的交通、商业、文化教育设施以及其他市政条件作误导宣传。</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《江苏省广告条例》</w:t>
            </w:r>
          </w:p>
          <w:p>
            <w:pPr>
              <w:spacing w:line="280" w:lineRule="exact"/>
              <w:jc w:val="center"/>
              <w:rPr>
                <w:szCs w:val="21"/>
              </w:rPr>
            </w:pPr>
            <w:r>
              <w:rPr>
                <w:rFonts w:hint="eastAsia"/>
                <w:szCs w:val="21"/>
              </w:rPr>
              <w:t>第十八条第（二）项  房地产广告应当符合下列规定：（二）涉及的交通、商业、文化、教育、医疗、体育以及电力、环境卫生等公共设施尚处于规划中的，应当注明；</w:t>
            </w:r>
          </w:p>
          <w:p>
            <w:pPr>
              <w:spacing w:line="280" w:lineRule="exact"/>
              <w:jc w:val="center"/>
              <w:rPr>
                <w:szCs w:val="21"/>
              </w:rPr>
            </w:pPr>
            <w:r>
              <w:rPr>
                <w:rFonts w:hint="eastAsia"/>
                <w:szCs w:val="21"/>
              </w:rPr>
              <w:t>《中华人民共和国广告法》</w:t>
            </w:r>
          </w:p>
          <w:p>
            <w:pPr>
              <w:spacing w:line="280" w:lineRule="exact"/>
              <w:jc w:val="center"/>
              <w:rPr>
                <w:szCs w:val="21"/>
              </w:rPr>
            </w:pPr>
            <w:r>
              <w:rPr>
                <w:rFonts w:hint="eastAsia"/>
                <w:szCs w:val="21"/>
              </w:rPr>
              <w:t>第二十六条第（四）项  房地产广告，房源信息应当真实，面积应当表明为建筑面积或者套内建筑面积，并不得含有下列内容：（四）对规划或者建设中的交通、商业、文化教育设施以及其他市政条件作误导宣传。</w:t>
            </w:r>
          </w:p>
          <w:p>
            <w:pPr>
              <w:spacing w:line="280" w:lineRule="exact"/>
              <w:jc w:val="center"/>
              <w:rPr>
                <w:szCs w:val="21"/>
              </w:rPr>
            </w:pPr>
            <w:r>
              <w:rPr>
                <w:rFonts w:hint="eastAsia"/>
                <w:szCs w:val="21"/>
              </w:rPr>
              <w:t>第五十八条第一款第（八）项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八）违反本法第二十六条规定发布房地产广告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房地产开发企业、房地产权利人、房地产中介服务机构发布的房地产项目预售、预租、出售、出租、项目转让以及其他房地产项目介绍的广告，不得含有对规划或者建设中的交通、商业、文化教育设施以及其他市政条件作误导宣传，涉及的交通、商业、文化、教育、医疗、体育以及电力、环境卫生等公共设施尚处于规划中的，应当注明。</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梁溪区市场监督管理局综合监管科0510-81082810</w:t>
            </w:r>
          </w:p>
        </w:tc>
      </w:tr>
    </w:tbl>
    <w:p>
      <w:pPr>
        <w:widowControl/>
        <w:spacing w:line="300" w:lineRule="exact"/>
        <w:rPr>
          <w:rFonts w:eastAsia="方正楷体_GBK"/>
          <w:szCs w:val="21"/>
        </w:rPr>
      </w:pPr>
      <w:r>
        <w:rPr>
          <w:rFonts w:hint="eastAsia" w:eastAsia="方正楷体_GBK"/>
          <w:szCs w:val="21"/>
        </w:rPr>
        <w:t>备注：1.合规清单适用对象：在梁溪区区域内从事商品生产、经营或者提供服务，需要进行广告宣传、商业宣传的法人和非法人组织。</w:t>
      </w:r>
    </w:p>
    <w:p>
      <w:pPr>
        <w:widowControl/>
        <w:spacing w:line="300" w:lineRule="exact"/>
        <w:ind w:firstLine="630" w:firstLineChars="300"/>
        <w:rPr>
          <w:rFonts w:eastAsia="方正楷体_GBK"/>
          <w:szCs w:val="21"/>
        </w:rPr>
      </w:pPr>
      <w:r>
        <w:rPr>
          <w:rFonts w:hint="eastAsia" w:eastAsia="方正楷体_GBK"/>
          <w:szCs w:val="21"/>
        </w:rPr>
        <w:t>2.该清单并未涵盖所有广告、宣传违法违规行为。</w:t>
      </w:r>
    </w:p>
    <w:p>
      <w:pPr>
        <w:widowControl/>
        <w:spacing w:line="300" w:lineRule="exact"/>
        <w:ind w:firstLine="630" w:firstLineChars="300"/>
        <w:rPr>
          <w:rFonts w:eastAsia="方正楷体_GBK"/>
          <w:szCs w:val="21"/>
        </w:rPr>
      </w:pPr>
      <w:r>
        <w:rPr>
          <w:rFonts w:hint="eastAsia" w:eastAsia="方正楷体_GBK"/>
          <w:szCs w:val="21"/>
        </w:rPr>
        <w:t>3.发生频率较高的为★★★，发生频率一般的为★★，发生频率较少的为★。</w:t>
      </w:r>
    </w:p>
    <w:p>
      <w:pPr>
        <w:pStyle w:val="10"/>
        <w:spacing w:line="280" w:lineRule="exact"/>
        <w:ind w:firstLine="0"/>
        <w:rPr>
          <w:rFonts w:ascii="方正楷体_GBK" w:eastAsia="方正楷体_GBK"/>
          <w:sz w:val="24"/>
          <w:szCs w:val="24"/>
        </w:rPr>
      </w:pPr>
    </w:p>
    <w:p>
      <w:pPr>
        <w:rPr>
          <w:rFonts w:eastAsia="方正楷体_GBK"/>
          <w:szCs w:val="21"/>
        </w:rPr>
      </w:pPr>
      <w:r>
        <w:rPr>
          <w:rFonts w:hint="eastAsia" w:eastAsia="方正楷体_GBK"/>
          <w:szCs w:val="21"/>
        </w:rPr>
        <w:t>价格与收费监督管理、反不正当竞争部分:</w:t>
      </w:r>
    </w:p>
    <w:tbl>
      <w:tblPr>
        <w:tblStyle w:val="6"/>
        <w:tblW w:w="14740" w:type="dxa"/>
        <w:jc w:val="center"/>
        <w:tblLayout w:type="autofit"/>
        <w:tblCellMar>
          <w:top w:w="0" w:type="dxa"/>
          <w:left w:w="108" w:type="dxa"/>
          <w:bottom w:w="0" w:type="dxa"/>
          <w:right w:w="108" w:type="dxa"/>
        </w:tblCellMar>
      </w:tblPr>
      <w:tblGrid>
        <w:gridCol w:w="876"/>
        <w:gridCol w:w="1773"/>
        <w:gridCol w:w="2300"/>
        <w:gridCol w:w="4337"/>
        <w:gridCol w:w="920"/>
        <w:gridCol w:w="2957"/>
        <w:gridCol w:w="1577"/>
      </w:tblGrid>
      <w:tr>
        <w:tblPrEx>
          <w:tblCellMar>
            <w:top w:w="0" w:type="dxa"/>
            <w:left w:w="108" w:type="dxa"/>
            <w:bottom w:w="0" w:type="dxa"/>
            <w:right w:w="108" w:type="dxa"/>
          </w:tblCellMar>
        </w:tblPrEx>
        <w:trPr>
          <w:trHeight w:val="763" w:hRule="atLeast"/>
          <w:tblHeader/>
          <w:jc w:val="center"/>
        </w:trPr>
        <w:tc>
          <w:tcPr>
            <w:tcW w:w="876"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序号</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行政合规</w:t>
            </w:r>
          </w:p>
          <w:p>
            <w:pPr>
              <w:spacing w:line="280" w:lineRule="exact"/>
              <w:jc w:val="center"/>
              <w:rPr>
                <w:rFonts w:ascii="方正黑体_GBK" w:hAnsi="黑体" w:eastAsia="方正黑体_GBK"/>
                <w:szCs w:val="21"/>
              </w:rPr>
            </w:pPr>
            <w:r>
              <w:rPr>
                <w:rFonts w:hint="eastAsia" w:ascii="方正黑体_GBK" w:hAnsi="黑体" w:eastAsia="方正黑体_GBK"/>
                <w:szCs w:val="21"/>
              </w:rPr>
              <w:t>事项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常见违法行为表现</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法律依据及违法责任</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风险等级</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合规建议</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指导部门（科室）</w:t>
            </w:r>
          </w:p>
        </w:tc>
      </w:tr>
      <w:tr>
        <w:tblPrEx>
          <w:tblCellMar>
            <w:top w:w="0" w:type="dxa"/>
            <w:left w:w="108" w:type="dxa"/>
            <w:bottom w:w="0" w:type="dxa"/>
            <w:right w:w="108" w:type="dxa"/>
          </w:tblCellMar>
        </w:tblPrEx>
        <w:trPr>
          <w:trHeight w:val="23"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不得实施引人误认为是他人商品或者与他人存在特定关系的混淆行为。</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擅自使用与他人有一定影响的商品名称、包装、装潢等相同或者近似的标识，企业名称（包括简称、字号等）等，以及其他足以引人误认为是他人商品或者与他人存在特定联系的混淆行为。</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《中华人民共和国反不正当竞争法》</w:t>
            </w:r>
          </w:p>
          <w:p>
            <w:pPr>
              <w:spacing w:line="280" w:lineRule="exact"/>
              <w:jc w:val="center"/>
              <w:rPr>
                <w:szCs w:val="21"/>
              </w:rPr>
            </w:pPr>
            <w:r>
              <w:rPr>
                <w:rFonts w:hint="eastAsia"/>
                <w:szCs w:val="21"/>
              </w:rPr>
              <w:t>第六条　经营者不得实施下列混淆行为，引人误认为是他人商品或者与他人存在特定联系：（一）擅自使用与他人有一定影响的商品名称、包装、装潢等相同或者近似的标识；（二）擅自使用他人有一定影响的企业名称（包括简称、字号等）、社会组织名称（包括简称等）、姓名（包括笔名、艺名、译名等）；（三）擅自使用他人有一定影响的域名主体部分、网站名称、网页等；（四）其他足以引人误认为是他人商品或者与他人存在特定联系的混淆行为。</w:t>
            </w:r>
          </w:p>
          <w:p>
            <w:pPr>
              <w:spacing w:line="280" w:lineRule="exact"/>
              <w:jc w:val="center"/>
              <w:rPr>
                <w:szCs w:val="21"/>
              </w:rPr>
            </w:pPr>
            <w:r>
              <w:rPr>
                <w:rFonts w:hint="eastAsia"/>
                <w:szCs w:val="21"/>
              </w:rPr>
              <w:t>第十八条　经营者违反本法第六条规定实施混淆行为的，由监督检查部门责令停止违法行为，没收违法商品。违法经营额五万元以上的，可以并处违法经营额五倍以下的罚款；没有违法经营额或者违法经营额不足五万元的，可以并处二十五万元以下的罚款。情节严重的，吊销营业执照。</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杜绝“山寨仿冒”“傍名牌”“搭便车”等行为，鼓励自主创新，不擅自使用与他人相同或相近的包装装潢、名称等。</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梁溪区市场监督管理局稽查科0510-82711315</w:t>
            </w:r>
          </w:p>
        </w:tc>
      </w:tr>
      <w:tr>
        <w:tblPrEx>
          <w:tblCellMar>
            <w:top w:w="0" w:type="dxa"/>
            <w:left w:w="108" w:type="dxa"/>
            <w:bottom w:w="0" w:type="dxa"/>
            <w:right w:w="108" w:type="dxa"/>
          </w:tblCellMar>
        </w:tblPrEx>
        <w:trPr>
          <w:trHeight w:val="2305"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不得对商品作虚假或者引人误解的商业宣传，欺骗、误导消费者。不得通过虚假交易等方式，帮助其他经营者进行虚假或者引人误解的商业宣传。</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对其商品的性能、功能、质量、销售状况、用户评价、曾获荣誉等作虚假或者引人误解的商业宣传，欺骗、误导消费者。</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《中华人民共和国反不正当竞争法》</w:t>
            </w:r>
          </w:p>
          <w:p>
            <w:pPr>
              <w:spacing w:line="280" w:lineRule="exact"/>
              <w:jc w:val="center"/>
              <w:rPr>
                <w:szCs w:val="21"/>
              </w:rPr>
            </w:pPr>
            <w:r>
              <w:rPr>
                <w:rFonts w:hint="eastAsia"/>
                <w:szCs w:val="21"/>
              </w:rPr>
              <w:t xml:space="preserve">第八条　经营者不得对其商品的性能、功能、质量、销售状况、用户评价、曾获荣誉等作虚假或者引人误解的商业宣传，欺骗、误导消费者。经营者不得通过组织虚假交易等方式，帮助其他经营者进行虚假或者引人误解的商业宣传。                            </w:t>
            </w:r>
          </w:p>
          <w:p>
            <w:pPr>
              <w:spacing w:line="280" w:lineRule="exact"/>
              <w:jc w:val="center"/>
              <w:rPr>
                <w:szCs w:val="21"/>
              </w:rPr>
            </w:pPr>
            <w:r>
              <w:rPr>
                <w:rFonts w:hint="eastAsia"/>
                <w:szCs w:val="21"/>
              </w:rPr>
              <w:t>第二十条　经营者违反本法第八条规定对其商品作虚假或者引人误解的商业宣传，或者通过组织虚假交易等方式帮助其他经营者进行虚假或者引人误解的商业宣传的，由监督检查部门责令停止违法行为，处二十万元以上一百万元以下的罚款；情节严重的，处一百万元以上二百万元以下的罚款，可以吊销营业执照。</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经营者生产经营商品或者提供服务时，对其性能、功能、质量、销售状况、用户评价、曾获荣誉等进行商业宣传，所宣传的内容需真实有据，不得进行虚构捏造，欺骗、误导相关公众。杜绝“刷单”“炒信”行为。</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梁溪区市场监督管理局稽查科0510-82711315</w:t>
            </w:r>
          </w:p>
        </w:tc>
      </w:tr>
      <w:tr>
        <w:tblPrEx>
          <w:tblCellMar>
            <w:top w:w="0" w:type="dxa"/>
            <w:left w:w="108" w:type="dxa"/>
            <w:bottom w:w="0" w:type="dxa"/>
            <w:right w:w="108" w:type="dxa"/>
          </w:tblCellMar>
        </w:tblPrEx>
        <w:trPr>
          <w:trHeight w:val="3359"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3</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不得采用财物或者其他手段贿赂相关单位或者个人，以谋取交易机会或者竞争优势。</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为谋取交易机会或者竞争优势，贿赂交易相对方工作人员、受委托单位或者个人，利用职权或者影响力影响交易的单位或者个人。</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《中华人民共和国反不正当竞争法》</w:t>
            </w:r>
          </w:p>
          <w:p>
            <w:pPr>
              <w:spacing w:line="280" w:lineRule="exact"/>
              <w:jc w:val="center"/>
              <w:rPr>
                <w:szCs w:val="21"/>
              </w:rPr>
            </w:pPr>
            <w:r>
              <w:rPr>
                <w:rFonts w:hint="eastAsia"/>
                <w:szCs w:val="21"/>
              </w:rPr>
              <w:t xml:space="preserve">第七条　经营者不得采用财物或者其他手段贿赂下列单位或者个人，以谋取交易机会或者竞争优势：（一）交易相对方的工作人员；（二）受交易相对方委托办理相关事务的单位或者个人；（三）利用职权或者影响力影响交易的单位或者个人。  </w:t>
            </w:r>
          </w:p>
          <w:p>
            <w:pPr>
              <w:spacing w:line="280" w:lineRule="exact"/>
              <w:jc w:val="center"/>
              <w:rPr>
                <w:szCs w:val="21"/>
              </w:rPr>
            </w:pPr>
            <w:r>
              <w:rPr>
                <w:rFonts w:hint="eastAsia"/>
                <w:szCs w:val="21"/>
              </w:rPr>
              <w:t>第十九条　经营者违反本法第七条规定贿赂他人的，由监督检查部门没收违法所得，处十万元以上三百万元以下的罚款。情节严重的，吊销营业执照。</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遵守公平交易规则，杜绝使用不正当手段以实物或现金“回扣”等方式进行贿赂，以谋取交易机会或者竞争优势。</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梁溪区市场监督管理局稽查科0510-82711315</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4</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不得实施有奖销售信息不明确影响兑奖、谎称有奖等欺骗方式、抽奖式最高奖的金额超过五万元的不正当有奖销售。</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 xml:space="preserve">进行有奖促销时，所设奖的有奖销售信息不明确，影响兑奖；采用谎称有奖或者故意让内定人员中奖的欺骗方式进行有奖销售；抽奖式的有奖销售，最高奖的金额超过五万元。               </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《中华人民共和国反不正当竞争法》</w:t>
            </w:r>
          </w:p>
          <w:p>
            <w:pPr>
              <w:spacing w:line="280" w:lineRule="exact"/>
              <w:jc w:val="center"/>
              <w:rPr>
                <w:szCs w:val="21"/>
              </w:rPr>
            </w:pPr>
            <w:r>
              <w:rPr>
                <w:rFonts w:hint="eastAsia"/>
                <w:szCs w:val="21"/>
              </w:rPr>
              <w:t xml:space="preserve">第十条　经营者进行有奖销售不得存在下列情形：（一）所设奖的种类、兑奖条件、奖金金额或者奖品等有奖销售信息不明确，影响兑奖；（二）采用谎称有奖或者故意让内定人员中奖的欺骗方式进行有奖销售；（三）抽奖式的有奖销售，最高奖的金额超过五万元。                        </w:t>
            </w:r>
          </w:p>
          <w:p>
            <w:pPr>
              <w:spacing w:line="280" w:lineRule="exact"/>
              <w:jc w:val="center"/>
              <w:rPr>
                <w:szCs w:val="21"/>
              </w:rPr>
            </w:pPr>
            <w:r>
              <w:rPr>
                <w:rFonts w:hint="eastAsia"/>
                <w:szCs w:val="21"/>
              </w:rPr>
              <w:t>第二十二条　经营者违反本法第十条规定进行有奖销售的，由监督检查部门责令停止违法行为，处五万元以上五十万元以下的罚款。</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开展有奖销售时，应当按照规定明确公布所有有奖销售信息，不得采用欺骗方式，抽奖式有奖销售的最高奖金额不得超过五万元。</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梁溪区市场监督管理局稽查科0510-82711315</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5</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不得编造、传播虚假信息或者误导性信息，损害竞争对手的商业信誉、商品声誉。</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 xml:space="preserve">编造、传播虚假信息或者误导信息，损害竞争对手的商业信誉、商品声誉。               </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《中华人民共和国反不正当竞争法》</w:t>
            </w:r>
          </w:p>
          <w:p>
            <w:pPr>
              <w:spacing w:line="280" w:lineRule="exact"/>
              <w:jc w:val="center"/>
              <w:rPr>
                <w:szCs w:val="21"/>
              </w:rPr>
            </w:pPr>
            <w:r>
              <w:rPr>
                <w:rFonts w:hint="eastAsia"/>
                <w:szCs w:val="21"/>
              </w:rPr>
              <w:t xml:space="preserve">第十一条　经营者不得编造、传播虚假信息或者误导性信息，损害竞争对手的商业信誉、商品声誉。                              </w:t>
            </w:r>
          </w:p>
          <w:p>
            <w:pPr>
              <w:spacing w:line="280" w:lineRule="exact"/>
              <w:jc w:val="center"/>
              <w:rPr>
                <w:szCs w:val="21"/>
              </w:rPr>
            </w:pPr>
            <w:r>
              <w:rPr>
                <w:rFonts w:hint="eastAsia"/>
                <w:szCs w:val="21"/>
              </w:rPr>
              <w:t>第二十三条　经营者违反本法第十一条规定损害竞争对手商业信誉、商品声誉的，由监督检查部门责令停止违法行为、消除影响，处十万元以上五十万元以下的罚款；情节严重的，处五十万元以上三百万元以下的罚款。</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开展经营活动时，杜绝对商业对手以编造、传播虚假信息的方式进行诋毁污蔑，损害与自己具有竞争关系的其他经营者的信誉商誉。</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梁溪区市场监督管理局稽查科0510-82711315</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6</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销售、收购商品和提供服务，应当按照政府价格主管部门的规定明码标价。</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销售商品、提供服务不标明价格、不按照规定的内容和方式标价，在标价之外加价出售商品或者收取未标明的费用</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《中华人民共和国价格法》</w:t>
            </w:r>
          </w:p>
          <w:p>
            <w:pPr>
              <w:spacing w:line="280" w:lineRule="exact"/>
              <w:jc w:val="center"/>
              <w:rPr>
                <w:szCs w:val="21"/>
              </w:rPr>
            </w:pPr>
            <w:r>
              <w:rPr>
                <w:rFonts w:hint="eastAsia"/>
                <w:szCs w:val="21"/>
              </w:rPr>
              <w:t xml:space="preserve">第十三条　经营者销售、收购商品和提供服务，应当按照政府价格主管部门的规定明码标价，注明商品的品名、产地、规格、等级、计价单位、价格或者服务的项目、收费标准等有关情况。经营者不得在标价之外加价出售商品，不得收取任何未予标明的费用。                            </w:t>
            </w:r>
          </w:p>
          <w:p>
            <w:pPr>
              <w:spacing w:line="280" w:lineRule="exact"/>
              <w:jc w:val="center"/>
              <w:rPr>
                <w:szCs w:val="21"/>
              </w:rPr>
            </w:pPr>
            <w:r>
              <w:rPr>
                <w:rFonts w:hint="eastAsia"/>
                <w:szCs w:val="21"/>
              </w:rPr>
              <w:t>第四十二条　经营者违反明码标价规定的，责令改正，没收违法所得，可以并处五千元以下的罚款。</w:t>
            </w:r>
          </w:p>
          <w:p>
            <w:pPr>
              <w:spacing w:line="280" w:lineRule="exact"/>
              <w:jc w:val="center"/>
              <w:rPr>
                <w:szCs w:val="21"/>
              </w:rPr>
            </w:pPr>
            <w:r>
              <w:rPr>
                <w:rFonts w:hint="eastAsia"/>
                <w:szCs w:val="21"/>
              </w:rPr>
              <w:t>《价格违法行为行政处罚规定》</w:t>
            </w:r>
          </w:p>
          <w:p>
            <w:pPr>
              <w:spacing w:line="280" w:lineRule="exact"/>
              <w:jc w:val="center"/>
              <w:rPr>
                <w:szCs w:val="21"/>
              </w:rPr>
            </w:pPr>
            <w:r>
              <w:rPr>
                <w:rFonts w:hint="eastAsia"/>
                <w:szCs w:val="21"/>
              </w:rPr>
              <w:t xml:space="preserve">第十三条　经营者违反明码标价规定，有下列行为之一的，责令改正，没收违法所得，可以并处5000元以下的罚款：（一）不标明价格的；（二）不按照规定的内容和方式明码标价的；（三）在标价之外加价出售商品或者收取未标明的费用的；（四）违反明码标价规定的其他行为。           </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经营者开展经营活动时，应当按照规定以显著方式标明商品或者服务的相关价格情况，不得在标价之外加价销售、收取未标明的费用</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梁溪区市场监督管理局价格与收费监督管理科0510-81082853</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7</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经营者不得实施价格串通、哄抬价格、价格欺诈的不正当价格行为。</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相互串通，操纵市场价格；哄抬价格；虚构原价、拒绝或者不完全履行价格承诺、虚假折价减价</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《中华人民共和国价格法》</w:t>
            </w:r>
          </w:p>
          <w:p>
            <w:pPr>
              <w:spacing w:line="280" w:lineRule="exact"/>
              <w:jc w:val="center"/>
              <w:rPr>
                <w:szCs w:val="21"/>
              </w:rPr>
            </w:pPr>
            <w:r>
              <w:rPr>
                <w:rFonts w:hint="eastAsia"/>
                <w:szCs w:val="21"/>
              </w:rPr>
              <w:t xml:space="preserve">第十四条　经营者不得有下列不正当价格行为：（一）相互串通，操纵市场价格，损害其他经营者或者消费者的合法权益；（三）捏造、散布涨价信息，哄抬价格，推动商品价格过高上涨的；（四）利用虚假的或者使人误解的价格手段，诱骗消费者或者其他经营者与其进行交易；（五）提供相同商品或者服务，对具有同等交易条件的其他经营者实行价格歧视；（六）采取抬高等级或者压低等级等手段收购、销售商品或者提供服务，变相提高或者压低价格；（七）违反法律、法规的规定牟取暴利；（八）法律、行政法规禁止的其他不正当价格行为。                        </w:t>
            </w:r>
          </w:p>
          <w:p>
            <w:pPr>
              <w:spacing w:line="280" w:lineRule="exact"/>
              <w:jc w:val="center"/>
              <w:rPr>
                <w:szCs w:val="21"/>
              </w:rPr>
            </w:pPr>
            <w:r>
              <w:rPr>
                <w:rFonts w:hint="eastAsia"/>
                <w:szCs w:val="21"/>
              </w:rPr>
              <w:t xml:space="preserve">第四十条　经营者有本法第十四条所列行为之一的，责令改正，没收违法所得，可以并处违法所得五倍以下的罚款；没有违法所得的，予以警告，可以并处罚款；情节严重的，责令停业整顿，或者由工商行政管理机关吊销营业执照。有关法律对本法第十四条所列行为的处罚及处罚机关另有规定的，可以依照有关法律的规定执行。                                               </w:t>
            </w:r>
          </w:p>
          <w:p>
            <w:pPr>
              <w:spacing w:line="280" w:lineRule="exact"/>
              <w:jc w:val="center"/>
              <w:rPr>
                <w:szCs w:val="21"/>
              </w:rPr>
            </w:pPr>
            <w:r>
              <w:rPr>
                <w:rFonts w:hint="eastAsia"/>
                <w:szCs w:val="21"/>
              </w:rPr>
              <w:t>《价格违法行为行政处罚规定》</w:t>
            </w:r>
          </w:p>
          <w:p>
            <w:pPr>
              <w:spacing w:line="280" w:lineRule="exact"/>
              <w:jc w:val="center"/>
              <w:rPr>
                <w:szCs w:val="21"/>
              </w:rPr>
            </w:pPr>
            <w:r>
              <w:rPr>
                <w:rFonts w:hint="eastAsia"/>
                <w:szCs w:val="21"/>
              </w:rPr>
              <w:t xml:space="preserve">第五条　经营者违反价格法第十四条的规定，相互串通，操纵市场价格，造成商品价格较大幅度上涨的，责令改正，没收违法所得，并处违法所得5倍以下的罚款；没有违法所得的，处10万元以上100万元以下的罚款，情节较重的处100万元以上500万元以下的罚款；情节严重的，责令停业整顿，或者由工商行政管理机关吊销营业执照。                       </w:t>
            </w:r>
          </w:p>
          <w:p>
            <w:pPr>
              <w:spacing w:line="280" w:lineRule="exact"/>
              <w:jc w:val="center"/>
              <w:rPr>
                <w:szCs w:val="21"/>
              </w:rPr>
            </w:pPr>
            <w:r>
              <w:rPr>
                <w:rFonts w:hint="eastAsia"/>
                <w:szCs w:val="21"/>
              </w:rPr>
              <w:t>除前款规定情形外，经营者相互串通，操纵市场价格，损害其他经营者或者消费者合法权益的，依照本规定第四条的规定处罚。</w:t>
            </w:r>
          </w:p>
          <w:p>
            <w:pPr>
              <w:spacing w:line="280" w:lineRule="exact"/>
              <w:jc w:val="center"/>
              <w:rPr>
                <w:szCs w:val="21"/>
              </w:rPr>
            </w:pPr>
            <w:r>
              <w:rPr>
                <w:rFonts w:hint="eastAsia"/>
                <w:szCs w:val="21"/>
              </w:rPr>
              <w:t>行业协会或者其他单位组织经营者相互串通，操纵市场价格的，对经营者依照前两款的规定处罚；对行业协会或者其他单位，可以处50万元以下的罚款，情节严重的，由登记管理机关依法撤销登记、吊销执照。</w:t>
            </w:r>
          </w:p>
          <w:p>
            <w:pPr>
              <w:spacing w:line="280" w:lineRule="exact"/>
              <w:jc w:val="center"/>
              <w:rPr>
                <w:szCs w:val="21"/>
              </w:rPr>
            </w:pPr>
            <w:r>
              <w:rPr>
                <w:rFonts w:hint="eastAsia"/>
                <w:szCs w:val="21"/>
              </w:rPr>
              <w:t>第六条　经营者违反价格法第十四条的规定，有下列推动商品价格过快、过高上涨行为之一的，责令改正，没收违法所得，并处违法所得5倍以下的罚款；没有违法所得的，处5万元以上50万元以下的罚款，情节较重的处50万元以上300万元以下的罚款；情节严重的，责令停业整顿，或者由工商行政管理机关吊销营业执照：(一)捏造、散布涨价信息，扰乱市场价格秩序的；(二)除生产自用外，超出正常的存储数量或者存储周期，大量囤积市场供应紧张、价格发生异常波动的商品，经价格主管部门告诫仍继续囤积的；(三)利用其他手段哄抬价格，推动商品价格过快、过高上涨的。</w:t>
            </w:r>
          </w:p>
          <w:p>
            <w:pPr>
              <w:spacing w:line="280" w:lineRule="exact"/>
              <w:jc w:val="center"/>
              <w:rPr>
                <w:szCs w:val="21"/>
              </w:rPr>
            </w:pPr>
            <w:r>
              <w:rPr>
                <w:rFonts w:hint="eastAsia"/>
                <w:szCs w:val="21"/>
              </w:rPr>
              <w:t>行业协会或者为商品交易提供服务的单位有前款规定的违法行为的，可以处50万元以下的罚款；情节严重的，由登记管理机关依法撤销登记、吊销执照。</w:t>
            </w:r>
          </w:p>
          <w:p>
            <w:pPr>
              <w:spacing w:line="280" w:lineRule="exact"/>
              <w:jc w:val="center"/>
              <w:rPr>
                <w:szCs w:val="21"/>
              </w:rPr>
            </w:pPr>
            <w:r>
              <w:rPr>
                <w:rFonts w:hint="eastAsia"/>
                <w:szCs w:val="21"/>
              </w:rPr>
              <w:t>第七条　经营者违反价格法第十四条的规定，利用虚假的或者使人误解的价格手段，诱骗消费者或者其他经营者与其进行交易的，责令改正，没收违法所得，并处违法所得5倍以下的罚款；没有违法所得的，处5万元以上50万元以下的罚款；情节严重的，责令停业整顿，或者由工商行政管理机关吊销营业执照。</w:t>
            </w:r>
          </w:p>
          <w:p>
            <w:pPr>
              <w:spacing w:line="280" w:lineRule="exact"/>
              <w:jc w:val="center"/>
              <w:rPr>
                <w:szCs w:val="21"/>
              </w:rPr>
            </w:pPr>
            <w:r>
              <w:rPr>
                <w:rFonts w:hint="eastAsia"/>
                <w:szCs w:val="21"/>
              </w:rPr>
              <w:t xml:space="preserve">                              </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不得进行互相串通，操纵市场价格。        不得捏造散布涨价信息，大幅度提高价格，不得在生产成本或进货成本没有发生明显变化，以牟取暴利为目的，大幅度提高价格，不得囤积居奇，导致商品供不应求而出现价格大幅度上涨。                                  在销售商品或者提供服务时进行价格比较的，标明的被比较价格信息应当真实准确。      未标明被比较价格的详细信息的，被比较价格应当不高于该经营者在同一经营场所进行价格比较前七日内的最低成交价格；前七日内没有交易的，应当不高于本次价格比较前最后一次交易价格。</w:t>
            </w:r>
          </w:p>
          <w:p>
            <w:pPr>
              <w:spacing w:line="280" w:lineRule="exact"/>
              <w:jc w:val="center"/>
              <w:rPr>
                <w:szCs w:val="21"/>
              </w:rPr>
            </w:pPr>
            <w:r>
              <w:rPr>
                <w:rFonts w:hint="eastAsia"/>
                <w:szCs w:val="21"/>
              </w:rPr>
              <w:t xml:space="preserve">没有合理理由，不得在折价、减价前临时显著提高标示价格并作为折价、减价计算基准。  不得采用无依据或者无从比较的价格，作为折价、减价的计算基准或者被比较价格。                              </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梁溪区市场监督管理局价格与收费监督管理科和稽查科0510-82711315</w:t>
            </w:r>
          </w:p>
        </w:tc>
      </w:tr>
    </w:tbl>
    <w:p>
      <w:pPr>
        <w:widowControl/>
        <w:spacing w:line="300" w:lineRule="exact"/>
        <w:rPr>
          <w:rFonts w:eastAsia="方正楷体_GBK"/>
          <w:szCs w:val="21"/>
        </w:rPr>
      </w:pPr>
      <w:r>
        <w:rPr>
          <w:rFonts w:hint="eastAsia" w:eastAsia="方正楷体_GBK"/>
          <w:szCs w:val="21"/>
        </w:rPr>
        <w:t>备注：1.合规清单适用对象：在梁溪区区域内从事商品生产、经营或者提供服务的自然人、法人和非法人组织。</w:t>
      </w:r>
    </w:p>
    <w:p>
      <w:pPr>
        <w:widowControl/>
        <w:spacing w:line="300" w:lineRule="exact"/>
        <w:ind w:firstLine="630" w:firstLineChars="300"/>
        <w:rPr>
          <w:rFonts w:eastAsia="方正楷体_GBK"/>
          <w:szCs w:val="21"/>
        </w:rPr>
      </w:pPr>
      <w:r>
        <w:rPr>
          <w:rFonts w:hint="eastAsia" w:eastAsia="方正楷体_GBK"/>
          <w:szCs w:val="21"/>
        </w:rPr>
        <w:t>2、该清单并未涵盖所有价格、反不正当竞争违法违规行为。</w:t>
      </w:r>
    </w:p>
    <w:p>
      <w:pPr>
        <w:widowControl/>
        <w:spacing w:line="300" w:lineRule="exact"/>
        <w:ind w:firstLine="630" w:firstLineChars="300"/>
        <w:rPr>
          <w:rFonts w:eastAsia="方正楷体_GBK"/>
          <w:szCs w:val="21"/>
        </w:rPr>
      </w:pPr>
      <w:r>
        <w:rPr>
          <w:rFonts w:hint="eastAsia" w:eastAsia="方正楷体_GBK"/>
          <w:szCs w:val="21"/>
        </w:rPr>
        <w:t>3、发生频率较高的为★★★，发生频率一般的为★★，发生频率较少的为★。</w:t>
      </w:r>
    </w:p>
    <w:p>
      <w:pPr>
        <w:pStyle w:val="10"/>
        <w:spacing w:line="280" w:lineRule="exact"/>
        <w:ind w:firstLine="0"/>
        <w:rPr>
          <w:rFonts w:ascii="方正楷体_GBK" w:eastAsia="方正楷体_GBK"/>
          <w:sz w:val="24"/>
          <w:szCs w:val="24"/>
        </w:rPr>
      </w:pPr>
    </w:p>
    <w:p>
      <w:pPr>
        <w:rPr>
          <w:rFonts w:eastAsia="方正楷体_GBK"/>
          <w:szCs w:val="21"/>
        </w:rPr>
      </w:pPr>
    </w:p>
    <w:p>
      <w:pPr>
        <w:rPr>
          <w:rFonts w:eastAsia="方正楷体_GBK"/>
          <w:szCs w:val="21"/>
        </w:rPr>
      </w:pPr>
    </w:p>
    <w:p>
      <w:pPr>
        <w:rPr>
          <w:rFonts w:eastAsia="方正楷体_GBK"/>
          <w:szCs w:val="21"/>
        </w:rPr>
      </w:pPr>
    </w:p>
    <w:p>
      <w:pPr>
        <w:rPr>
          <w:rFonts w:eastAsia="方正楷体_GBK"/>
          <w:szCs w:val="21"/>
        </w:rPr>
      </w:pPr>
    </w:p>
    <w:p>
      <w:pPr>
        <w:rPr>
          <w:rFonts w:eastAsia="方正楷体_GBK"/>
          <w:szCs w:val="21"/>
        </w:rPr>
      </w:pPr>
    </w:p>
    <w:p>
      <w:pPr>
        <w:rPr>
          <w:rFonts w:eastAsia="方正楷体_GBK"/>
          <w:szCs w:val="21"/>
        </w:rPr>
      </w:pPr>
    </w:p>
    <w:p>
      <w:pPr>
        <w:rPr>
          <w:rFonts w:eastAsia="方正楷体_GBK"/>
          <w:szCs w:val="21"/>
        </w:rPr>
      </w:pPr>
    </w:p>
    <w:p>
      <w:pPr>
        <w:rPr>
          <w:rFonts w:eastAsia="方正楷体_GBK"/>
          <w:szCs w:val="21"/>
        </w:rPr>
      </w:pPr>
      <w:r>
        <w:rPr>
          <w:rFonts w:hint="eastAsia" w:eastAsia="方正楷体_GBK"/>
          <w:szCs w:val="21"/>
        </w:rPr>
        <w:t>食品经营监督管理部分:</w:t>
      </w:r>
    </w:p>
    <w:tbl>
      <w:tblPr>
        <w:tblStyle w:val="6"/>
        <w:tblW w:w="14740" w:type="dxa"/>
        <w:jc w:val="center"/>
        <w:tblLayout w:type="autofit"/>
        <w:tblCellMar>
          <w:top w:w="0" w:type="dxa"/>
          <w:left w:w="108" w:type="dxa"/>
          <w:bottom w:w="0" w:type="dxa"/>
          <w:right w:w="108" w:type="dxa"/>
        </w:tblCellMar>
      </w:tblPr>
      <w:tblGrid>
        <w:gridCol w:w="876"/>
        <w:gridCol w:w="1773"/>
        <w:gridCol w:w="2300"/>
        <w:gridCol w:w="4337"/>
        <w:gridCol w:w="920"/>
        <w:gridCol w:w="2957"/>
        <w:gridCol w:w="1577"/>
      </w:tblGrid>
      <w:tr>
        <w:tblPrEx>
          <w:tblCellMar>
            <w:top w:w="0" w:type="dxa"/>
            <w:left w:w="108" w:type="dxa"/>
            <w:bottom w:w="0" w:type="dxa"/>
            <w:right w:w="108" w:type="dxa"/>
          </w:tblCellMar>
        </w:tblPrEx>
        <w:trPr>
          <w:trHeight w:val="763" w:hRule="atLeast"/>
          <w:tblHeader/>
          <w:jc w:val="center"/>
        </w:trPr>
        <w:tc>
          <w:tcPr>
            <w:tcW w:w="876"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序号</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行政合规</w:t>
            </w:r>
          </w:p>
          <w:p>
            <w:pPr>
              <w:spacing w:line="280" w:lineRule="exact"/>
              <w:jc w:val="center"/>
              <w:rPr>
                <w:rFonts w:ascii="方正黑体_GBK" w:hAnsi="黑体" w:eastAsia="方正黑体_GBK"/>
                <w:szCs w:val="21"/>
              </w:rPr>
            </w:pPr>
            <w:r>
              <w:rPr>
                <w:rFonts w:hint="eastAsia" w:ascii="方正黑体_GBK" w:hAnsi="黑体" w:eastAsia="方正黑体_GBK"/>
                <w:szCs w:val="21"/>
              </w:rPr>
              <w:t>事项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常见违法行为表现</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法律依据及违法责任</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风险等级</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合规建议</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指导部门（科室）</w:t>
            </w:r>
          </w:p>
        </w:tc>
      </w:tr>
      <w:tr>
        <w:tblPrEx>
          <w:tblCellMar>
            <w:top w:w="0" w:type="dxa"/>
            <w:left w:w="108" w:type="dxa"/>
            <w:bottom w:w="0" w:type="dxa"/>
            <w:right w:w="108" w:type="dxa"/>
          </w:tblCellMar>
        </w:tblPrEx>
        <w:trPr>
          <w:trHeight w:val="23"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食品经营者应当依法取得食品经营许可后方可从事经营活动。</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1、未取得食品经营许可从事食品经营活动；</w:t>
            </w:r>
          </w:p>
          <w:p>
            <w:pPr>
              <w:spacing w:line="280" w:lineRule="exact"/>
              <w:jc w:val="center"/>
              <w:rPr>
                <w:szCs w:val="21"/>
              </w:rPr>
            </w:pPr>
            <w:r>
              <w:rPr>
                <w:rFonts w:hint="eastAsia"/>
                <w:szCs w:val="21"/>
              </w:rPr>
              <w:t>2、食品经营时间超过许可证载明的有效期限；</w:t>
            </w:r>
          </w:p>
          <w:p>
            <w:pPr>
              <w:spacing w:line="280" w:lineRule="exact"/>
              <w:jc w:val="center"/>
              <w:rPr>
                <w:szCs w:val="21"/>
              </w:rPr>
            </w:pPr>
            <w:r>
              <w:rPr>
                <w:rFonts w:hint="eastAsia"/>
                <w:szCs w:val="21"/>
              </w:rPr>
              <w:t>3、食品经营许可证载明的经营范围等许可事项已发生变化，食品经营者未在发生变化后10个工作日内申请变更；</w:t>
            </w:r>
          </w:p>
          <w:p>
            <w:pPr>
              <w:spacing w:line="280" w:lineRule="exact"/>
              <w:jc w:val="center"/>
              <w:rPr>
                <w:szCs w:val="21"/>
              </w:rPr>
            </w:pPr>
            <w:r>
              <w:rPr>
                <w:rFonts w:hint="eastAsia"/>
                <w:szCs w:val="21"/>
              </w:rPr>
              <w:t>4、行政许可申请人隐瞒真实情况、提供虚假材料，或以欺骗、贿赂等不正当手段取得食品经营许可；</w:t>
            </w:r>
          </w:p>
          <w:p>
            <w:pPr>
              <w:spacing w:line="280" w:lineRule="exact"/>
              <w:jc w:val="center"/>
              <w:rPr>
                <w:szCs w:val="21"/>
              </w:rPr>
            </w:pPr>
            <w:r>
              <w:rPr>
                <w:rFonts w:hint="eastAsia"/>
                <w:szCs w:val="21"/>
              </w:rPr>
              <w:t>5、伪造涂改、倒卖、出租、出借、转让食品经营许可证。</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第三十五条第一款  国家对食品生产经营实行许可制度。从事食品生产、食品销售、餐饮服务，应当依法取得许可。但是，销售食用农产品和仅销售预包装食品的，不需要取得许可。仅销售预包装食品的，应当报所在地县级以上地方人民政府食品安全监督管理部门备案。</w:t>
            </w:r>
          </w:p>
          <w:p>
            <w:pPr>
              <w:spacing w:line="280" w:lineRule="exact"/>
              <w:jc w:val="center"/>
              <w:rPr>
                <w:szCs w:val="21"/>
              </w:rPr>
            </w:pPr>
            <w:r>
              <w:rPr>
                <w:rFonts w:hint="eastAsia"/>
                <w:szCs w:val="21"/>
              </w:rPr>
              <w:t>第一百二十二条第一款  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p>
          <w:p>
            <w:pPr>
              <w:spacing w:line="280" w:lineRule="exact"/>
              <w:jc w:val="center"/>
              <w:rPr>
                <w:szCs w:val="21"/>
              </w:rPr>
            </w:pPr>
            <w:r>
              <w:rPr>
                <w:rFonts w:hint="eastAsia"/>
                <w:szCs w:val="21"/>
              </w:rPr>
              <w:t>《食品经营许可管理办法》</w:t>
            </w:r>
          </w:p>
          <w:p>
            <w:pPr>
              <w:spacing w:line="280" w:lineRule="exact"/>
              <w:jc w:val="center"/>
              <w:rPr>
                <w:szCs w:val="21"/>
              </w:rPr>
            </w:pPr>
            <w:r>
              <w:rPr>
                <w:rFonts w:hint="eastAsia"/>
                <w:szCs w:val="21"/>
              </w:rPr>
              <w:t>第十三条  申请人应当如实向食品药品监督管理部门提交有关材料和反映真实情况，对申请材料的真实性负责，并在申请书等材料上签名或者盖章。</w:t>
            </w:r>
          </w:p>
          <w:p>
            <w:pPr>
              <w:spacing w:line="280" w:lineRule="exact"/>
              <w:jc w:val="center"/>
              <w:rPr>
                <w:szCs w:val="21"/>
              </w:rPr>
            </w:pPr>
            <w:r>
              <w:rPr>
                <w:rFonts w:hint="eastAsia"/>
                <w:szCs w:val="21"/>
              </w:rPr>
              <w:t>第二十六条第一款  食品经营者应当妥善保管食品经营许可证，不得伪造、涂改、倒卖、出租、出借、转让。</w:t>
            </w:r>
          </w:p>
          <w:p>
            <w:pPr>
              <w:spacing w:line="280" w:lineRule="exact"/>
              <w:jc w:val="center"/>
              <w:rPr>
                <w:szCs w:val="21"/>
              </w:rPr>
            </w:pPr>
            <w:r>
              <w:rPr>
                <w:rFonts w:hint="eastAsia"/>
                <w:szCs w:val="21"/>
              </w:rPr>
              <w:t>第二十七条第一款  食品经营许可证载明的许可事项发生变化的，食品经营者应当在变化后10个工作日内向原发证的食品药品监督管理部门申请变更经营许可。</w:t>
            </w:r>
          </w:p>
          <w:p>
            <w:pPr>
              <w:spacing w:line="280" w:lineRule="exact"/>
              <w:jc w:val="center"/>
              <w:rPr>
                <w:szCs w:val="21"/>
              </w:rPr>
            </w:pPr>
            <w:r>
              <w:rPr>
                <w:rFonts w:hint="eastAsia"/>
                <w:szCs w:val="21"/>
              </w:rPr>
              <w:t>第二十九条  食品经营者需要延续依法取得的食品经营许可的有效期的，应当在该食品经营许可有效期届满30个工作日前，向原发证的食品药品监督管理部门提出申请。</w:t>
            </w:r>
          </w:p>
          <w:p>
            <w:pPr>
              <w:spacing w:line="280" w:lineRule="exact"/>
              <w:jc w:val="center"/>
              <w:rPr>
                <w:szCs w:val="21"/>
              </w:rPr>
            </w:pPr>
            <w:r>
              <w:rPr>
                <w:rFonts w:hint="eastAsia"/>
                <w:szCs w:val="21"/>
              </w:rPr>
              <w:t>第四十六条许可申请人隐瞒真实情况或者提供虚假材料申请食品经营许可的，由县级以上地方食品药品监督管理部门给予警告。申请人在1年内不得再次申请食品经营许可。</w:t>
            </w:r>
          </w:p>
          <w:p>
            <w:pPr>
              <w:spacing w:line="280" w:lineRule="exact"/>
              <w:jc w:val="center"/>
              <w:rPr>
                <w:szCs w:val="21"/>
              </w:rPr>
            </w:pPr>
            <w:r>
              <w:rPr>
                <w:rFonts w:hint="eastAsia"/>
                <w:szCs w:val="21"/>
              </w:rPr>
              <w:t>第四十七条被许可人以欺骗、贿赂等不正当手段取得食品经营许可的，由原发证的食品药品监督管理部门撤销许可，并处1万元以上3万元以下罚款。被许可人在3年内不得再次申请食品经营许可。</w:t>
            </w:r>
          </w:p>
          <w:p>
            <w:pPr>
              <w:spacing w:line="280" w:lineRule="exact"/>
              <w:jc w:val="center"/>
              <w:rPr>
                <w:szCs w:val="21"/>
              </w:rPr>
            </w:pPr>
            <w:r>
              <w:rPr>
                <w:rFonts w:hint="eastAsia"/>
                <w:szCs w:val="21"/>
              </w:rPr>
              <w:t>第四十八条第一款违反本办法第二十六条第一款规定，食品经营者伪造、涂改、倒卖、出租、出借、转让食品经营许可证的，由县级以上地方食品药品监督管理部门责令改正，给予警告，并处1万元以下罚款；情节严重的，处1万元以上3万元以下罚款。</w:t>
            </w:r>
          </w:p>
          <w:p>
            <w:pPr>
              <w:spacing w:line="280" w:lineRule="exact"/>
              <w:jc w:val="center"/>
              <w:rPr>
                <w:szCs w:val="21"/>
              </w:rPr>
            </w:pPr>
            <w:r>
              <w:rPr>
                <w:rFonts w:hint="eastAsia"/>
                <w:szCs w:val="21"/>
              </w:rPr>
              <w:t>第四十九条第一款违反本办法第二十七条第一款规定，食品经营许可证载明的许可事项发生变化，食品经营者未按规定申请变更经营许可的，由原发证的食品药品监督管理部门责令改正，给予警告；拒不改正的，处2000元以上1万元以下罚款。</w:t>
            </w:r>
          </w:p>
          <w:p>
            <w:pPr>
              <w:spacing w:line="280" w:lineRule="exact"/>
              <w:jc w:val="center"/>
              <w:rPr>
                <w:szCs w:val="21"/>
              </w:rPr>
            </w:pP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从事食品经营活动，应当依法申请取得食品经营许可证，不得伪造、涂改、倒卖、出租、出借、转让许可证。销售食用农产品、食品添加剂，不需要取得食品经营许可证。仅销售预包装食品的，应当进行备案。</w:t>
            </w:r>
          </w:p>
          <w:p>
            <w:pPr>
              <w:spacing w:line="280" w:lineRule="exact"/>
              <w:jc w:val="center"/>
              <w:rPr>
                <w:szCs w:val="21"/>
              </w:rPr>
            </w:pPr>
            <w:r>
              <w:rPr>
                <w:rFonts w:hint="eastAsia"/>
                <w:szCs w:val="21"/>
              </w:rPr>
              <w:t>2、不得超出许可经营项目开展销售活动。许可事项发生变化的，应当在变化后10个工作日内向原发证的市场监管部门申请变更经营许可。经营场所发生变化的，应当重新申请经营许可。</w:t>
            </w:r>
          </w:p>
          <w:p>
            <w:pPr>
              <w:spacing w:line="280" w:lineRule="exact"/>
              <w:jc w:val="center"/>
              <w:rPr>
                <w:szCs w:val="21"/>
              </w:rPr>
            </w:pPr>
            <w:r>
              <w:rPr>
                <w:rFonts w:hint="eastAsia"/>
                <w:szCs w:val="21"/>
              </w:rPr>
              <w:t>3、应当在许可有效期（5年）内开展经营活动。有效期届满30个工作日前，应当向原发证的市场监管部门提出延续申请。</w:t>
            </w:r>
          </w:p>
          <w:p>
            <w:pPr>
              <w:spacing w:line="280" w:lineRule="exact"/>
              <w:jc w:val="center"/>
              <w:rPr>
                <w:szCs w:val="21"/>
              </w:rPr>
            </w:pPr>
            <w:r>
              <w:rPr>
                <w:rFonts w:hint="eastAsia"/>
                <w:szCs w:val="21"/>
              </w:rPr>
              <w:t>4、按照许可证载明的经营场所、主体业态、经营项目开展销售活动。利用自动售货设备从事销售活动的，设备放置地点应当与许可申请材料中标明的地点一致</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p>
            <w:pPr>
              <w:spacing w:line="280" w:lineRule="exact"/>
              <w:jc w:val="center"/>
              <w:rPr>
                <w:szCs w:val="21"/>
              </w:rPr>
            </w:pPr>
          </w:p>
        </w:tc>
      </w:tr>
      <w:tr>
        <w:tblPrEx>
          <w:tblCellMar>
            <w:top w:w="0" w:type="dxa"/>
            <w:left w:w="108" w:type="dxa"/>
            <w:bottom w:w="0" w:type="dxa"/>
            <w:right w:w="108" w:type="dxa"/>
          </w:tblCellMar>
        </w:tblPrEx>
        <w:trPr>
          <w:trHeight w:val="2305"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应当在经营场所公示食品经营许可证、量化等级和日常监督检查结果记录表等信息。</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食品经营者未按规定在经营场所的显著位置悬挂或摆放食品经营许可证正本；</w:t>
            </w:r>
          </w:p>
          <w:p>
            <w:pPr>
              <w:spacing w:line="280" w:lineRule="exact"/>
              <w:jc w:val="center"/>
              <w:rPr>
                <w:szCs w:val="21"/>
              </w:rPr>
            </w:pPr>
            <w:r>
              <w:rPr>
                <w:rFonts w:hint="eastAsia"/>
                <w:szCs w:val="21"/>
              </w:rPr>
              <w:t>未按照规定在显著位置张贴或者公开展示相关监督检查结果记录表，撕毁、涂改监督检查结果记录表；</w:t>
            </w:r>
          </w:p>
          <w:p>
            <w:pPr>
              <w:spacing w:line="280" w:lineRule="exact"/>
              <w:jc w:val="center"/>
              <w:rPr>
                <w:szCs w:val="21"/>
              </w:rPr>
            </w:pPr>
            <w:r>
              <w:rPr>
                <w:rFonts w:hint="eastAsia"/>
                <w:szCs w:val="21"/>
              </w:rPr>
              <w:t>未保持日常监督检查结果记录表至下次日常监督检查。</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《食品经营许可管理办法》</w:t>
            </w:r>
          </w:p>
          <w:p>
            <w:pPr>
              <w:spacing w:line="280" w:lineRule="exact"/>
              <w:jc w:val="center"/>
              <w:rPr>
                <w:szCs w:val="21"/>
              </w:rPr>
            </w:pPr>
            <w:r>
              <w:rPr>
                <w:rFonts w:hint="eastAsia"/>
                <w:szCs w:val="21"/>
              </w:rPr>
              <w:t>第二十六条第二款  食品经营者应当在经营场所的显著位置悬挂或者摆放食品经营许可证正本。</w:t>
            </w:r>
          </w:p>
          <w:p>
            <w:pPr>
              <w:spacing w:line="280" w:lineRule="exact"/>
              <w:jc w:val="center"/>
              <w:rPr>
                <w:szCs w:val="21"/>
              </w:rPr>
            </w:pPr>
            <w:r>
              <w:rPr>
                <w:rFonts w:hint="eastAsia"/>
                <w:szCs w:val="21"/>
              </w:rPr>
              <w:t>第四十八条第二款  违反本办法第二十六条第二款规定，食品经营者未按规定在经营场所的显著位置悬挂或者摆放食品经营许可证的，由县级以上地方食品药品监督管理部门责令改正；拒不改正的，给予警告。</w:t>
            </w:r>
          </w:p>
          <w:p>
            <w:pPr>
              <w:spacing w:line="280" w:lineRule="exact"/>
              <w:jc w:val="center"/>
              <w:rPr>
                <w:szCs w:val="21"/>
              </w:rPr>
            </w:pPr>
            <w:r>
              <w:rPr>
                <w:rFonts w:hint="eastAsia"/>
                <w:szCs w:val="21"/>
              </w:rPr>
              <w:t>《食品生产经营监督检查管理办法 》</w:t>
            </w:r>
          </w:p>
          <w:p>
            <w:pPr>
              <w:spacing w:line="280" w:lineRule="exact"/>
              <w:jc w:val="center"/>
              <w:rPr>
                <w:szCs w:val="21"/>
              </w:rPr>
            </w:pPr>
            <w:r>
              <w:rPr>
                <w:rFonts w:hint="eastAsia"/>
                <w:szCs w:val="21"/>
              </w:rPr>
              <w:t>第三十九条　市场监督管理部门应当于检查结果信息形成后20个工作日内向社会公开。</w:t>
            </w:r>
          </w:p>
          <w:p>
            <w:pPr>
              <w:spacing w:line="280" w:lineRule="exact"/>
              <w:jc w:val="center"/>
              <w:rPr>
                <w:szCs w:val="21"/>
              </w:rPr>
            </w:pPr>
            <w:r>
              <w:rPr>
                <w:rFonts w:hint="eastAsia"/>
                <w:szCs w:val="21"/>
              </w:rPr>
              <w:t>检查结果对消费者有重要影响的，食品生产经营者应当按照规定在食品生产经营场所醒目位置张贴或者公开展示监督检查结果记录表，并保持至下次监督检查。有条件的可以通过电子屏幕等信息化方式向消费者展示监督检查结果记录表。</w:t>
            </w:r>
          </w:p>
          <w:p>
            <w:pPr>
              <w:spacing w:line="280" w:lineRule="exact"/>
              <w:jc w:val="center"/>
              <w:rPr>
                <w:szCs w:val="21"/>
              </w:rPr>
            </w:pPr>
            <w:r>
              <w:rPr>
                <w:rFonts w:hint="eastAsia"/>
                <w:szCs w:val="21"/>
              </w:rPr>
              <w:t>第四十八条　食品生产经营者未按照规定在显著位置张贴或者公开展示相关监督检查结果记录表，撕毁、涂改监督检查结果记录表，或者未保持日常监督检查结果记录表至下次日常监督检查的，由县级以上地方市场监督管理部门责令改正；拒不改正的，给予警告，可以并处5000元以上5万元以下罚款。</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应当依法亮证经营，在经营场所的显著位置悬挂或者摆放食品经营许可证正本。2、检查结果对消费者有重要影响的，食品生产经营者应当按照规定在食品生产经营场所醒目位置张贴或者公开展示监督检查结果记录表。3、通过第三方平台进行交易的经营者在其经营活动主页面显著位置公示；通过自建网站交易的食品销售者在其网站首页显著位置公示。公示内容应当清晰可辨。4、利用自动售货设备从事经营活动的，应当按照相关规定和许可申请材料中标明的方式，在自动售货设备的醒目位置公示食品经营许可证等信息，在梁溪区自贩机E管理系统进行报告。</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359"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3</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不得经营用非食品原料生产的食品或者添加食品添加剂以外的化学物质和其他可能危害人体健康物质的食品，或者用回收食品作为原料生产的食品</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1、经营用非食品原料生产的食品；</w:t>
            </w:r>
          </w:p>
          <w:p>
            <w:pPr>
              <w:spacing w:line="280" w:lineRule="exact"/>
              <w:jc w:val="center"/>
              <w:rPr>
                <w:szCs w:val="21"/>
              </w:rPr>
            </w:pPr>
            <w:r>
              <w:rPr>
                <w:rFonts w:hint="eastAsia"/>
                <w:szCs w:val="21"/>
              </w:rPr>
              <w:t>2、经营添加食品添加剂以外的化学物质的食品；</w:t>
            </w:r>
          </w:p>
          <w:p>
            <w:pPr>
              <w:spacing w:line="280" w:lineRule="exact"/>
              <w:jc w:val="center"/>
              <w:rPr>
                <w:szCs w:val="21"/>
              </w:rPr>
            </w:pPr>
            <w:r>
              <w:rPr>
                <w:rFonts w:hint="eastAsia"/>
                <w:szCs w:val="21"/>
              </w:rPr>
              <w:t>经营添加其他可能危害人体健康物质的食品；</w:t>
            </w:r>
          </w:p>
          <w:p>
            <w:pPr>
              <w:spacing w:line="280" w:lineRule="exact"/>
              <w:jc w:val="center"/>
              <w:rPr>
                <w:szCs w:val="21"/>
              </w:rPr>
            </w:pPr>
            <w:r>
              <w:rPr>
                <w:rFonts w:hint="eastAsia"/>
                <w:szCs w:val="21"/>
              </w:rPr>
              <w:t>经营用回收食品作为原料生产的食品。</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第三十四条  禁止生产经营下列食品、食品添加剂、食品相关产品：（一）用非食品原料生产的食品或者添加食品添加剂以外的化学物质和其他可能危害人体健康物质的食品，或者用回收食品作为原料生产的食品；</w:t>
            </w:r>
          </w:p>
          <w:p>
            <w:pPr>
              <w:spacing w:line="280" w:lineRule="exact"/>
              <w:jc w:val="center"/>
              <w:rPr>
                <w:szCs w:val="21"/>
              </w:rPr>
            </w:pPr>
            <w:r>
              <w:rPr>
                <w:rFonts w:hint="eastAsia"/>
                <w:szCs w:val="21"/>
              </w:rPr>
              <w:t>第一百二十三条第一款  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w:t>
            </w:r>
          </w:p>
          <w:p>
            <w:pPr>
              <w:spacing w:line="280" w:lineRule="exact"/>
              <w:jc w:val="center"/>
              <w:rPr>
                <w:szCs w:val="21"/>
              </w:rPr>
            </w:pPr>
            <w:r>
              <w:rPr>
                <w:rFonts w:hint="eastAsia"/>
                <w:szCs w:val="21"/>
              </w:rPr>
              <w:t>（一）用非食品原料生产食品、在食品中添加食品添加剂以外的化学物质和其他可能危害人体健康的物质，或者用回收食品作为原料生产食品，或者经营上述食品；</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应当遵守食品经营法律法规，严守食品安全底线，强化食品安全风险意识，不经营用非食品原料生产的食品或者添加食品添加剂以外的化学物质和其他可能危害人体健康物质的食品，或者用回收食品作为原料生产的食品。</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4</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不得经营病死、毒死或者死因不明的禽、畜、兽、水产动物肉类及其制品。</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经营病死、毒死或者死因不明的禽、畜、兽、水产动物肉类及其制品。</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第三十四条  禁止生产经营下列食品、食品添加剂、食品相关产品：（七）病死、毒死或者死因不明的禽、畜、兽、水产动物肉类及其制品；</w:t>
            </w:r>
          </w:p>
          <w:p>
            <w:pPr>
              <w:spacing w:line="280" w:lineRule="exact"/>
              <w:jc w:val="center"/>
              <w:rPr>
                <w:szCs w:val="21"/>
              </w:rPr>
            </w:pPr>
            <w:r>
              <w:rPr>
                <w:rFonts w:hint="eastAsia"/>
                <w:szCs w:val="21"/>
              </w:rPr>
              <w:t>第一百二十三条第一款  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w:t>
            </w:r>
          </w:p>
          <w:p>
            <w:pPr>
              <w:spacing w:line="280" w:lineRule="exact"/>
              <w:jc w:val="center"/>
              <w:rPr>
                <w:szCs w:val="21"/>
              </w:rPr>
            </w:pPr>
            <w:r>
              <w:rPr>
                <w:rFonts w:hint="eastAsia"/>
                <w:szCs w:val="21"/>
              </w:rPr>
              <w:t>（三）经营病死、毒死或者死因不明的禽、畜、兽、水产动物肉类，或者生产经营其制品；</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食品经营者应当遵守食品经营法律法规，严守食品安全底线，强化食品安全风险意识，查验其经营禽、畜、兽、水产动物肉类及其制品的</w:t>
            </w:r>
            <w:bookmarkStart w:id="0" w:name="_GoBack"/>
            <w:bookmarkEnd w:id="0"/>
            <w:r>
              <w:rPr>
                <w:rFonts w:hint="eastAsia"/>
                <w:szCs w:val="21"/>
              </w:rPr>
              <w:t>正规来源，不得经营病死、毒死或者死因不明的禽、畜、兽、水产动物肉类及其制品。</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5</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不得经营未按规定进行检疫或者检疫不合格的肉类，或者未经检验或者检验不合格的肉类制品。</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经营未按规定进行检疫或者检疫不合格的肉类；</w:t>
            </w:r>
          </w:p>
          <w:p>
            <w:pPr>
              <w:spacing w:line="280" w:lineRule="exact"/>
              <w:jc w:val="center"/>
              <w:rPr>
                <w:szCs w:val="21"/>
              </w:rPr>
            </w:pPr>
            <w:r>
              <w:rPr>
                <w:rFonts w:hint="eastAsia"/>
                <w:szCs w:val="21"/>
              </w:rPr>
              <w:t>经营未经检验或者检验不合格的肉类制品。</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第三十四条  禁止生产经营下列食品、食品添加剂、食品相关产品：（八）未按规定进行检疫或者检疫不合格的肉类，或者未经检验或者检验不合格的肉类制品；</w:t>
            </w:r>
          </w:p>
          <w:p>
            <w:pPr>
              <w:spacing w:line="280" w:lineRule="exact"/>
              <w:jc w:val="center"/>
              <w:rPr>
                <w:szCs w:val="21"/>
              </w:rPr>
            </w:pPr>
            <w:r>
              <w:rPr>
                <w:rFonts w:hint="eastAsia"/>
                <w:szCs w:val="21"/>
              </w:rPr>
              <w:t>第一百二十三条  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w:t>
            </w:r>
          </w:p>
          <w:p>
            <w:pPr>
              <w:spacing w:line="280" w:lineRule="exact"/>
              <w:jc w:val="center"/>
              <w:rPr>
                <w:szCs w:val="21"/>
              </w:rPr>
            </w:pPr>
            <w:r>
              <w:rPr>
                <w:rFonts w:hint="eastAsia"/>
                <w:szCs w:val="21"/>
              </w:rPr>
              <w:t>（四）经营未按规定进行检疫或者检疫不合格的肉类，或者生产经营未经检验或者检验不合格的肉类制品；</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食品经营者应当索取、查验相关的检验检疫证明，确保所经营的肉类检疫合格、肉类制品检验合格。米购猪肉索取动物检疫合格证明、肉品品种合格证明和非洲猪瘟病毒检验报告。</w:t>
            </w:r>
          </w:p>
        </w:tc>
        <w:tc>
          <w:tcPr>
            <w:tcW w:w="157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6</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不得经营国家为防病等特殊需要明令禁止生产经营的食品。</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经营国家为防病等特殊需要明令禁止生产经营的食品。例如：国家为防疫需要，明令禁止从疫区进口食品，但食品经营者仍从该疫区进口销售食品的。</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第三十四条  禁止生产经营下列食品、食品添加剂、食品相关产品：（十二）国家为防病等特殊需要明令禁止生产经营的食品；</w:t>
            </w:r>
          </w:p>
          <w:p>
            <w:pPr>
              <w:spacing w:line="280" w:lineRule="exact"/>
              <w:jc w:val="center"/>
              <w:rPr>
                <w:szCs w:val="21"/>
              </w:rPr>
            </w:pPr>
            <w:r>
              <w:rPr>
                <w:rFonts w:hint="eastAsia"/>
                <w:szCs w:val="21"/>
              </w:rPr>
              <w:t>第一百二十三条第一款  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w:t>
            </w:r>
          </w:p>
          <w:p>
            <w:pPr>
              <w:spacing w:line="280" w:lineRule="exact"/>
              <w:jc w:val="center"/>
              <w:rPr>
                <w:szCs w:val="21"/>
              </w:rPr>
            </w:pPr>
            <w:r>
              <w:rPr>
                <w:rFonts w:hint="eastAsia"/>
                <w:szCs w:val="21"/>
              </w:rPr>
              <w:t>（五）生产经营国家为防病等特殊需要明令禁止生产经营的食品；</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食品经营者不得经营国家为防病等特殊需要明令禁止生产经营的食品。</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7</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生产经营的食品中不得添加药品，但是可以添加按照传统既是食品又是中药材的物质。</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经营违法添加药品的食品。例如：经营添加醋酸泼尼松止咳平喘药品的茶类饮料。</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第三十八条  生产经营的食品中不得添加药品，但是可以添加按照传统既是食品又是中药材的物质。按照传统既是食品又是中药材的物质目录由国务院卫生行政部门会同国务院食品安全监督管理部门制定、公布。</w:t>
            </w:r>
          </w:p>
          <w:p>
            <w:pPr>
              <w:spacing w:line="280" w:lineRule="exact"/>
              <w:jc w:val="center"/>
              <w:rPr>
                <w:szCs w:val="21"/>
              </w:rPr>
            </w:pPr>
            <w:r>
              <w:rPr>
                <w:rFonts w:hint="eastAsia"/>
                <w:szCs w:val="21"/>
              </w:rPr>
              <w:t>第一百二十三条第一款  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w:t>
            </w:r>
          </w:p>
          <w:p>
            <w:pPr>
              <w:spacing w:line="280" w:lineRule="exact"/>
              <w:jc w:val="center"/>
              <w:rPr>
                <w:szCs w:val="21"/>
              </w:rPr>
            </w:pPr>
            <w:r>
              <w:rPr>
                <w:rFonts w:hint="eastAsia"/>
                <w:szCs w:val="21"/>
              </w:rPr>
              <w:t>（六）生产经营添加药品的食品。</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经营者应当根据食药同源的目录对食品进行甄别，不得对食品的药用性进行宣传。</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8</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不得经营有害物质超标的食品、食品添加剂、食品相关产品。</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经营的食品经过抽检致病性微生物，农药残留、兽药残留、生物毒素、重金属等污染物质及其他危害人体健康物质含量超过食品安全标准限量（如：对某餐饮店准备进行制作的青菜进行食品安全监督抽检，经抽样检测，阿维菌素项目不符</w:t>
            </w:r>
            <w:r>
              <w:rPr>
                <w:rFonts w:hint="eastAsia"/>
                <w:szCs w:val="21"/>
              </w:rPr>
              <w:tab/>
            </w:r>
            <w:r>
              <w:rPr>
                <w:rFonts w:hint="eastAsia"/>
                <w:szCs w:val="21"/>
              </w:rPr>
              <w:t>合</w:t>
            </w:r>
          </w:p>
          <w:p>
            <w:pPr>
              <w:spacing w:line="280" w:lineRule="exact"/>
              <w:jc w:val="center"/>
              <w:rPr>
                <w:szCs w:val="21"/>
              </w:rPr>
            </w:pPr>
            <w:r>
              <w:rPr>
                <w:rFonts w:hint="eastAsia"/>
                <w:szCs w:val="21"/>
              </w:rPr>
              <w:t>GB2763-2019《食品安全国家标准食品中农药最大残留限量》要求，检验结论为不合格。）</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第三十四条  禁止生产经营下列食品、食品添加剂、食品相关产品：（二）致病性微生物，农药残留、兽药残留、生物毒素、重金属等污染物质以及其他危害人体健康的物质含量超过食品安全标准限量的食品、食品添加剂、食品相关产品；</w:t>
            </w:r>
          </w:p>
          <w:p>
            <w:pPr>
              <w:spacing w:line="280" w:lineRule="exact"/>
              <w:jc w:val="center"/>
              <w:rPr>
                <w:szCs w:val="21"/>
              </w:rPr>
            </w:pPr>
            <w:r>
              <w:rPr>
                <w:rFonts w:hint="eastAsia"/>
                <w:szCs w:val="21"/>
              </w:rPr>
              <w:t>第一百二十四条第一款  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一）生产经营致病性微生物，农药残留、兽药残留、生物毒素、重金属等污染物质以及其他危害人体健康的物质含量超过食品安全标准限量的食品、食品添加剂；</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食品经营者应严格履行进货查验义务，重点查验供货者的资质及食品相关合格证明。严格落实全过程食品安全管理，采取有效措施，避免交叉污染。</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9</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不得经营用超过保质期的食品原料、食品添加剂生产的食品、食品添加剂。</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在餐饮服务环节中用超过保质期的各种食品原材料、调味料等制作的食品。（如：在食堂加工区域使用超过保质期的番茄汁等调味料。）</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第三十四条  禁止生产经营下列食品、食品添加剂、食品相关产品：（三）用超过保质期的食品原料、食品添加剂生产的食品、食品添加剂；</w:t>
            </w:r>
          </w:p>
          <w:p>
            <w:pPr>
              <w:spacing w:line="280" w:lineRule="exact"/>
              <w:jc w:val="center"/>
              <w:rPr>
                <w:szCs w:val="21"/>
              </w:rPr>
            </w:pPr>
            <w:r>
              <w:rPr>
                <w:rFonts w:hint="eastAsia"/>
                <w:szCs w:val="21"/>
              </w:rPr>
              <w:t>第一百二十四条第一款  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p>
            <w:pPr>
              <w:spacing w:line="280" w:lineRule="exact"/>
              <w:jc w:val="center"/>
              <w:rPr>
                <w:szCs w:val="21"/>
              </w:rPr>
            </w:pPr>
            <w:r>
              <w:rPr>
                <w:rFonts w:hint="eastAsia"/>
                <w:szCs w:val="21"/>
              </w:rPr>
              <w:t>（二）用超过保质期的食品原料、食品添加剂生产食品、食品添加剂，或者经营上述食品、食品添加剂；</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食品经营者应当建立食品原料、食品添加剂管理制度，定期对食品原料、食品添加剂进行清理。</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10</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不得经营超范围、超限量使用食品添。</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经营超范围使用食品添加剂的食品；</w:t>
            </w:r>
          </w:p>
          <w:p>
            <w:pPr>
              <w:spacing w:line="280" w:lineRule="exact"/>
              <w:jc w:val="center"/>
              <w:rPr>
                <w:szCs w:val="21"/>
              </w:rPr>
            </w:pPr>
            <w:r>
              <w:rPr>
                <w:rFonts w:hint="eastAsia"/>
                <w:szCs w:val="21"/>
              </w:rPr>
              <w:t>经营超限加剂的食品。</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第三十四条  禁止生产经营下列食品、食品添加剂、食品相关产品：（四）超范围、超限量使用食品添加剂的食品；</w:t>
            </w:r>
          </w:p>
          <w:p>
            <w:pPr>
              <w:spacing w:line="280" w:lineRule="exact"/>
              <w:jc w:val="center"/>
              <w:rPr>
                <w:szCs w:val="21"/>
              </w:rPr>
            </w:pPr>
            <w:r>
              <w:rPr>
                <w:rFonts w:hint="eastAsia"/>
                <w:szCs w:val="21"/>
              </w:rPr>
              <w:t>第一百二十四条第一款  违反本法规定，有下列情形之一，尚不构成犯罪的，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三）生产经营超范围、超限量使用食品添加剂的食品；</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按照《食品安全国家标准食品添加剂使用标准》规定的食品添加剂品种、使用范围、使用量，使用食品添加剂。</w:t>
            </w:r>
          </w:p>
          <w:p>
            <w:pPr>
              <w:spacing w:line="280" w:lineRule="exact"/>
              <w:jc w:val="center"/>
              <w:rPr>
                <w:szCs w:val="21"/>
              </w:rPr>
            </w:pPr>
            <w:r>
              <w:rPr>
                <w:rFonts w:hint="eastAsia"/>
                <w:szCs w:val="21"/>
              </w:rPr>
              <w:t>食品添加剂由专人负责保管、领用、登记，并有相关使用记录。专册记录使用的食品添加剂名称、生产日期或批号、添加的食品品种、添加量、添加时间、操作人员等信息，加强食品添加剂使用管理。</w:t>
            </w:r>
          </w:p>
          <w:p>
            <w:pPr>
              <w:spacing w:line="280" w:lineRule="exact"/>
              <w:jc w:val="center"/>
              <w:rPr>
                <w:szCs w:val="21"/>
              </w:rPr>
            </w:pPr>
            <w:r>
              <w:rPr>
                <w:rFonts w:hint="eastAsia"/>
                <w:szCs w:val="21"/>
              </w:rPr>
              <w:t>拆包后的食品添加剂的，应在盛放容器上标明食品添加剂名称等，并保留原包装</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11</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不得经营腐败变质、油脂酸败、霉变生虫、污秽不洁、混有异物、掺假掺杂或者感官性状异常的食品、食品添加剂</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经营腐败变质、油脂酸败、霉变生虫、污秽不洁、混有异物、掺假掺杂或者感官性状异常的食品、食品添加剂。例如：散装食品已经生虫或者变质仍继续销售。</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第三十四条  禁止生产经营下列食品、食品添加剂、食品相关产品：（六）腐败变质、油脂酸败、霉变生虫、污秽不洁、混有异物、掺假掺杂或者感官性状异常的食品、食品添加剂；</w:t>
            </w:r>
          </w:p>
          <w:p>
            <w:pPr>
              <w:spacing w:line="280" w:lineRule="exact"/>
              <w:jc w:val="center"/>
              <w:rPr>
                <w:szCs w:val="21"/>
              </w:rPr>
            </w:pPr>
            <w:r>
              <w:rPr>
                <w:rFonts w:hint="eastAsia"/>
                <w:szCs w:val="21"/>
              </w:rPr>
              <w:t>第一百二十四条第一款  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p>
            <w:pPr>
              <w:spacing w:line="280" w:lineRule="exact"/>
              <w:jc w:val="center"/>
              <w:rPr>
                <w:szCs w:val="21"/>
              </w:rPr>
            </w:pPr>
            <w:r>
              <w:rPr>
                <w:rFonts w:hint="eastAsia"/>
                <w:szCs w:val="21"/>
              </w:rPr>
              <w:t>（四）生产经营腐败变质、油脂酸败、霉变生虫、污秽不洁、混有异物、掺假掺杂或者感官性状异常的食品、食品添加剂；</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食品经营者应当加强食品贮存管理和过程控制，定期检查库存食品、食品添加剂，及时清理变质、油脂酸败、霉变生虫、污秽不洁、混有异物、掺假掺杂或感官性状异常的食品、食品添加剂。</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12</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不得经营标注虚假生产日期、保质期或者超过保质期的食品、食品添加剂。</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经营标注虚假生产日期、保质期的食品、食品添加剂；</w:t>
            </w:r>
          </w:p>
          <w:p>
            <w:pPr>
              <w:spacing w:line="280" w:lineRule="exact"/>
              <w:jc w:val="center"/>
              <w:rPr>
                <w:szCs w:val="21"/>
              </w:rPr>
            </w:pPr>
            <w:r>
              <w:rPr>
                <w:rFonts w:hint="eastAsia"/>
                <w:szCs w:val="21"/>
              </w:rPr>
              <w:t>经营超过保质期的食品、食品添加剂。</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第三十四条  禁止生产经营下列食品、食品添加剂、食品相关产品：（十）标注虚假生产日期、保质期或者超过保质期的食品、食品添加剂；</w:t>
            </w:r>
          </w:p>
          <w:p>
            <w:pPr>
              <w:spacing w:line="280" w:lineRule="exact"/>
              <w:jc w:val="center"/>
              <w:rPr>
                <w:szCs w:val="21"/>
              </w:rPr>
            </w:pPr>
            <w:r>
              <w:rPr>
                <w:rFonts w:hint="eastAsia"/>
                <w:szCs w:val="21"/>
              </w:rPr>
              <w:t>第一百二十四条第一款  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p>
            <w:pPr>
              <w:spacing w:line="280" w:lineRule="exact"/>
              <w:jc w:val="center"/>
              <w:rPr>
                <w:szCs w:val="21"/>
              </w:rPr>
            </w:pPr>
            <w:r>
              <w:rPr>
                <w:rFonts w:hint="eastAsia"/>
                <w:szCs w:val="21"/>
              </w:rPr>
              <w:t>（五）生产经营标注虚假生产日期、保质期或者超过保质期的食品、食品添加剂；</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食品经营者应当按照保证食品安全的要求贮存食品，定期检查库存食品，及时清理标注虚假生产日期、保质期或超过保质期的食品。真实标注生产日期，不得伪造、篡改生产日期。</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13</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不得经营被包装材料、容器、运输工具等污染的食品、食品添加剂。</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经营被包装材料、容器、运输工具等污染的食品、食品添加剂。</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第三十四条  禁止生产经营下列食品、食品添加剂、食品相关产品：（九）被包装材料、容器、运输工具等污染的食品、食品添加剂；</w:t>
            </w:r>
          </w:p>
          <w:p>
            <w:pPr>
              <w:spacing w:line="280" w:lineRule="exact"/>
              <w:jc w:val="center"/>
              <w:rPr>
                <w:szCs w:val="21"/>
              </w:rPr>
            </w:pPr>
            <w:r>
              <w:rPr>
                <w:rFonts w:hint="eastAsia"/>
                <w:szCs w:val="21"/>
              </w:rPr>
              <w:t>第一百二十五条第一款  违反本法规定，有下列情形之一的，由县级以上人民政府食品安全监督管理部门没收违法所得和违法生产经营的食品、食品添加剂，并可以没收用于违法生产经营的工具、设备、原料等物品；违法生产经营的食品、食品添加剂货值金额不足一万元的，并处五千元以上五万元以下罚款；货值金额一万元以上的，并处货值金额五倍以上十倍以下罚款；情节严重的，责令停产停业，直至吊销许可证：</w:t>
            </w:r>
          </w:p>
          <w:p>
            <w:pPr>
              <w:spacing w:line="280" w:lineRule="exact"/>
              <w:jc w:val="center"/>
              <w:rPr>
                <w:szCs w:val="21"/>
              </w:rPr>
            </w:pPr>
            <w:r>
              <w:rPr>
                <w:rFonts w:hint="eastAsia"/>
                <w:szCs w:val="21"/>
              </w:rPr>
              <w:t>（一）生产经营被包装材料、容器、运输工具等污染的食品、食品添加剂；</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食品经营者应当选用符合食品安全要求的包装材料、容器、运输工具，加强过程管理，防止食品被污染。</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14</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经营的食品、添加剂标签应当符合规定。</w:t>
            </w:r>
          </w:p>
        </w:tc>
        <w:tc>
          <w:tcPr>
            <w:tcW w:w="2300"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r>
              <w:rPr>
                <w:rFonts w:hint="eastAsia"/>
                <w:szCs w:val="21"/>
              </w:rPr>
              <w:t>经营无标签的预包装食品、食品添加剂；</w:t>
            </w:r>
          </w:p>
          <w:p>
            <w:pPr>
              <w:spacing w:line="280" w:lineRule="exact"/>
              <w:jc w:val="center"/>
              <w:rPr>
                <w:szCs w:val="21"/>
              </w:rPr>
            </w:pPr>
            <w:r>
              <w:rPr>
                <w:rFonts w:hint="eastAsia"/>
                <w:szCs w:val="21"/>
              </w:rPr>
              <w:t>经营标签不符合食品安全法规定的食品、食品添加剂。例如：销售预包装食品标签未载明生产地址的、销售食品添加剂的标签未载明保质期的。</w:t>
            </w:r>
          </w:p>
          <w:p>
            <w:pPr>
              <w:spacing w:line="280" w:lineRule="exact"/>
              <w:jc w:val="center"/>
              <w:rPr>
                <w:szCs w:val="21"/>
              </w:rPr>
            </w:pPr>
            <w:r>
              <w:rPr>
                <w:rFonts w:hint="eastAsia"/>
                <w:szCs w:val="21"/>
              </w:rPr>
              <w:t>进口的预包装食品、食品添加剂无中文标签或标签、说明书不符合食品安全法规定。例如：进口的预包装食品在销售时未加贴中文标签或未标注代理商名称的。</w:t>
            </w:r>
          </w:p>
          <w:p>
            <w:pPr>
              <w:spacing w:line="280" w:lineRule="exact"/>
              <w:jc w:val="center"/>
              <w:rPr>
                <w:szCs w:val="21"/>
              </w:rPr>
            </w:pPr>
            <w:r>
              <w:rPr>
                <w:rFonts w:hint="eastAsia"/>
                <w:szCs w:val="21"/>
              </w:rPr>
              <w:t>经营转基因食品未按规定显著标示。</w:t>
            </w:r>
          </w:p>
        </w:tc>
        <w:tc>
          <w:tcPr>
            <w:tcW w:w="433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第三十四条  禁止生产经营下列食品、食品添加剂、食品相关产品：（十一）无标签的预包装食品、食品添加剂；</w:t>
            </w:r>
          </w:p>
          <w:p>
            <w:pPr>
              <w:spacing w:line="280" w:lineRule="exact"/>
              <w:jc w:val="center"/>
              <w:rPr>
                <w:szCs w:val="21"/>
              </w:rPr>
            </w:pPr>
            <w:r>
              <w:rPr>
                <w:rFonts w:hint="eastAsia"/>
                <w:szCs w:val="21"/>
              </w:rPr>
              <w:t>第六十七条  预包装食品的包装上应当有标签。标签应当标明下列事项：（一）名称、规格、净含量、生产日期；（二）成分或者配料表；（三）生产者的名称、地址、联系方式；（四）保质期；（五）产品标准代号；（六）贮存条件；（七）所使用的食品添加剂在国家标准中的通用名称；（八）生产许可证编号；（九）法律、法规或者食品安全标准规定应当标明的其他事项。</w:t>
            </w:r>
          </w:p>
          <w:p>
            <w:pPr>
              <w:spacing w:line="280" w:lineRule="exact"/>
              <w:jc w:val="center"/>
              <w:rPr>
                <w:szCs w:val="21"/>
              </w:rPr>
            </w:pPr>
            <w:r>
              <w:rPr>
                <w:rFonts w:hint="eastAsia"/>
                <w:szCs w:val="21"/>
              </w:rPr>
              <w:t>第七十条  食品添加剂应当有标签、说明书和包装。标签、说明书应当载明本法第六十七条第一款第一项至第六项、第八项、第九项规定的事项，以及食品添加剂的使用范围、用量、使用方法，并在标签上载明“食品添加剂”字样。</w:t>
            </w:r>
          </w:p>
          <w:p>
            <w:pPr>
              <w:spacing w:line="280" w:lineRule="exact"/>
              <w:jc w:val="center"/>
              <w:rPr>
                <w:szCs w:val="21"/>
              </w:rPr>
            </w:pPr>
            <w:r>
              <w:rPr>
                <w:rFonts w:hint="eastAsia"/>
                <w:szCs w:val="21"/>
              </w:rPr>
              <w:t>第九十七条  进口的预包装食品、食品添加剂应当有中文标签；依法应当有说明书的，还应当有中文说明书。标签、说明书应当符合本法以及我国其他有关法律、行政法规的规定和食品安全国家标准的要求，并载明食品的原产地以及境内代理商的名称、地址、联系方式。预包装食品没有中文标签、中文说明书或者标签、说明书不符合本条规定的，不得进口。</w:t>
            </w:r>
          </w:p>
          <w:p>
            <w:pPr>
              <w:spacing w:line="280" w:lineRule="exact"/>
              <w:jc w:val="center"/>
              <w:rPr>
                <w:szCs w:val="21"/>
              </w:rPr>
            </w:pPr>
            <w:r>
              <w:rPr>
                <w:rFonts w:hint="eastAsia"/>
                <w:szCs w:val="21"/>
              </w:rPr>
              <w:t>第六十九条  生产经营转基因食品应当按照规定显著标示。</w:t>
            </w:r>
          </w:p>
          <w:p>
            <w:pPr>
              <w:spacing w:line="280" w:lineRule="exact"/>
              <w:jc w:val="center"/>
              <w:rPr>
                <w:szCs w:val="21"/>
              </w:rPr>
            </w:pPr>
            <w:r>
              <w:rPr>
                <w:rFonts w:hint="eastAsia"/>
                <w:szCs w:val="21"/>
              </w:rPr>
              <w:t>第一百二十五条第一款  违反本法规定，有下列情形之一的，由县级以上人民政府食品安全监督管理部门没收违法所得和违法生产经营的食品、食品添加剂，并可以没收用于违法生产经营的工具、设备、原料等物品；违法生产经营的食品、食品添加剂货值金额不足一万元的，并处五千元以上五万元以下罚款；货值金额一万元以上的，并处货值金额五倍以上十倍以下罚款；情节严重的，责令停产停业，直至吊销许可证：</w:t>
            </w:r>
          </w:p>
          <w:p>
            <w:pPr>
              <w:spacing w:line="280" w:lineRule="exact"/>
              <w:jc w:val="center"/>
              <w:rPr>
                <w:szCs w:val="21"/>
              </w:rPr>
            </w:pPr>
            <w:r>
              <w:rPr>
                <w:rFonts w:hint="eastAsia"/>
                <w:szCs w:val="21"/>
              </w:rPr>
              <w:t>（二）生产经营无标签的预包装食品、食品添加剂或者标签、说明书不符合本法规定的食品、食品添加剂；</w:t>
            </w:r>
          </w:p>
          <w:p>
            <w:pPr>
              <w:spacing w:line="280" w:lineRule="exact"/>
              <w:jc w:val="center"/>
              <w:rPr>
                <w:szCs w:val="21"/>
              </w:rPr>
            </w:pPr>
            <w:r>
              <w:rPr>
                <w:rFonts w:hint="eastAsia"/>
                <w:szCs w:val="21"/>
              </w:rPr>
              <w:t>（三）生产经营转基因食品未按规定进行标示；</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tcPr>
          <w:p>
            <w:pPr>
              <w:spacing w:line="280" w:lineRule="exact"/>
              <w:jc w:val="center"/>
              <w:rPr>
                <w:szCs w:val="21"/>
              </w:rPr>
            </w:pPr>
            <w:r>
              <w:rPr>
                <w:rFonts w:hint="eastAsia"/>
                <w:szCs w:val="21"/>
              </w:rPr>
              <w:t>1.预包装食品包装上应当有标签。标签应当标明以下事项：（I）</w:t>
            </w:r>
            <w:r>
              <w:rPr>
                <w:rFonts w:hint="eastAsia"/>
                <w:szCs w:val="21"/>
              </w:rPr>
              <w:tab/>
            </w:r>
            <w:r>
              <w:rPr>
                <w:rFonts w:hint="eastAsia"/>
                <w:szCs w:val="21"/>
              </w:rPr>
              <w:t>名称、规格、净含量、生产日期；（2）成分或者配料表；（3）生产者的名称、地址、联系方式；（4）保质期；（5）产品标准代号；（6）贮存条件；（7）所使用的食品添加剂在国家标准中的通用名称；（8）生产许可证编号；（9）法律、法规或者食品安全标准规定标明的其他事项；（10）专供婴幼儿和其他特定人群的主辅食品，还应当标明主要营养成分及其含量；</w:t>
            </w:r>
          </w:p>
          <w:p>
            <w:pPr>
              <w:spacing w:line="280" w:lineRule="exact"/>
              <w:jc w:val="center"/>
              <w:rPr>
                <w:szCs w:val="21"/>
              </w:rPr>
            </w:pPr>
            <w:r>
              <w:rPr>
                <w:rFonts w:hint="eastAsia"/>
                <w:szCs w:val="21"/>
              </w:rPr>
              <w:t>（II）</w:t>
            </w:r>
            <w:r>
              <w:rPr>
                <w:rFonts w:hint="eastAsia"/>
                <w:szCs w:val="21"/>
              </w:rPr>
              <w:tab/>
            </w:r>
            <w:r>
              <w:rPr>
                <w:rFonts w:hint="eastAsia"/>
                <w:szCs w:val="21"/>
              </w:rPr>
              <w:t>加碘食盐应当有明显标识并标明碘的含量。未加碘食盐的标签应当在显著位置标注“未加碘”字样。</w:t>
            </w:r>
          </w:p>
          <w:p>
            <w:pPr>
              <w:spacing w:line="280" w:lineRule="exact"/>
              <w:jc w:val="center"/>
              <w:rPr>
                <w:szCs w:val="21"/>
              </w:rPr>
            </w:pPr>
            <w:r>
              <w:rPr>
                <w:rFonts w:hint="eastAsia"/>
                <w:szCs w:val="21"/>
              </w:rPr>
              <w:t>2.食品添加剂应当有标签、说明书和包装。标签上应当载明“食品添加剂”字样。</w:t>
            </w:r>
          </w:p>
          <w:p>
            <w:pPr>
              <w:spacing w:line="280" w:lineRule="exact"/>
              <w:jc w:val="center"/>
              <w:rPr>
                <w:szCs w:val="21"/>
              </w:rPr>
            </w:pPr>
            <w:r>
              <w:rPr>
                <w:rFonts w:hint="eastAsia"/>
                <w:szCs w:val="21"/>
              </w:rPr>
              <w:t xml:space="preserve">    提供给消费者直接使用的食品添加剂，标签上还应当注明“零售”字样。标签、说明书还应当载明以下事项：（1）名称、规格、净含量、生产日期；（2）成分或者配料表；（3）生产者的名称、地址、联系方式；（4）保质期；（5）产品标准代号；（6）贮存条件；</w:t>
            </w:r>
          </w:p>
          <w:p>
            <w:pPr>
              <w:spacing w:line="280" w:lineRule="exact"/>
              <w:jc w:val="center"/>
              <w:rPr>
                <w:szCs w:val="21"/>
              </w:rPr>
            </w:pPr>
            <w:r>
              <w:rPr>
                <w:rFonts w:hint="eastAsia"/>
                <w:szCs w:val="21"/>
              </w:rPr>
              <w:t>（7）</w:t>
            </w:r>
            <w:r>
              <w:rPr>
                <w:rFonts w:hint="eastAsia"/>
                <w:szCs w:val="21"/>
              </w:rPr>
              <w:tab/>
            </w:r>
            <w:r>
              <w:rPr>
                <w:rFonts w:hint="eastAsia"/>
                <w:szCs w:val="21"/>
              </w:rPr>
              <w:t>生产许可证编号；</w:t>
            </w:r>
          </w:p>
          <w:p>
            <w:pPr>
              <w:spacing w:line="280" w:lineRule="exact"/>
              <w:jc w:val="center"/>
              <w:rPr>
                <w:szCs w:val="21"/>
              </w:rPr>
            </w:pPr>
            <w:r>
              <w:rPr>
                <w:rFonts w:hint="eastAsia"/>
                <w:szCs w:val="21"/>
              </w:rPr>
              <w:t>（8）</w:t>
            </w:r>
            <w:r>
              <w:rPr>
                <w:rFonts w:hint="eastAsia"/>
                <w:szCs w:val="21"/>
              </w:rPr>
              <w:tab/>
            </w:r>
            <w:r>
              <w:rPr>
                <w:rFonts w:hint="eastAsia"/>
                <w:szCs w:val="21"/>
              </w:rPr>
              <w:t>使用范围、用量、使用方法；（9）法律、法规或者食品安全标准规定标明的其他事项。</w:t>
            </w:r>
          </w:p>
          <w:p>
            <w:pPr>
              <w:spacing w:line="280" w:lineRule="exact"/>
              <w:jc w:val="center"/>
              <w:rPr>
                <w:szCs w:val="21"/>
              </w:rPr>
            </w:pPr>
            <w:r>
              <w:rPr>
                <w:rFonts w:hint="eastAsia"/>
                <w:szCs w:val="21"/>
              </w:rPr>
              <w:t>3.进口的预包装食品、食品添加剂应当有中文标签；</w:t>
            </w:r>
          </w:p>
          <w:p>
            <w:pPr>
              <w:spacing w:line="280" w:lineRule="exact"/>
              <w:jc w:val="center"/>
              <w:rPr>
                <w:szCs w:val="21"/>
              </w:rPr>
            </w:pPr>
            <w:r>
              <w:rPr>
                <w:rFonts w:hint="eastAsia"/>
                <w:szCs w:val="21"/>
              </w:rPr>
              <w:t>依法应当有说明书的，还应当有中文说明书。标签、说明书应当标示原产国国名或地区区名（如香港、澳门、台湾），以及在中国依法登记注册的代理商、进口商或经销者的名称、地址和联系方式，可不标示生产者的名称、地址和联系方式，应当符合我国法律、行政法规的规定和食品安全国家标准的要求。</w:t>
            </w:r>
          </w:p>
          <w:p>
            <w:pPr>
              <w:spacing w:line="280" w:lineRule="exact"/>
              <w:jc w:val="center"/>
              <w:rPr>
                <w:szCs w:val="21"/>
              </w:rPr>
            </w:pPr>
            <w:r>
              <w:rPr>
                <w:rFonts w:hint="eastAsia"/>
                <w:szCs w:val="21"/>
              </w:rPr>
              <w:t>4.标签、说明书应当清楚、醒目、持久，使消费者购买时易于辨认和识读。转基因食品按照规定显著标示。</w:t>
            </w:r>
          </w:p>
          <w:p>
            <w:pPr>
              <w:spacing w:line="280" w:lineRule="exact"/>
              <w:jc w:val="center"/>
              <w:rPr>
                <w:szCs w:val="21"/>
              </w:rPr>
            </w:pP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15</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销售散装食品，应当在散装食品的容器、外包装上标明食品的名称、生产日期或者生产批号、保质期以及生产经营者名称、地址、联系方式等内容。食品经营者应当按照食品标签标示的警示标志、警示说明或者注意事项的</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销售散装食品，未在散装食品的容器、外包装上标明食品的名称、生产日期或生产批号、保质期及生产经营者名称、地址、联系方式等内容</w:t>
            </w:r>
          </w:p>
          <w:p>
            <w:pPr>
              <w:spacing w:line="280" w:lineRule="exact"/>
              <w:jc w:val="center"/>
              <w:rPr>
                <w:szCs w:val="21"/>
              </w:rPr>
            </w:pPr>
            <w:r>
              <w:rPr>
                <w:rFonts w:hint="eastAsia"/>
                <w:szCs w:val="21"/>
              </w:rPr>
              <w:t>未按食品标签标示的警示标志、警示说明或注意事项的要求销售食品。</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第六十八条食品经营者销售散装食品，应当在散装食品的容器、外包装上标明食品的名称、生产日期或者生产批号、保质期以及生产经营者名称、地址、联系方式等内容。</w:t>
            </w:r>
          </w:p>
          <w:p>
            <w:pPr>
              <w:spacing w:line="280" w:lineRule="exact"/>
              <w:jc w:val="center"/>
              <w:rPr>
                <w:szCs w:val="21"/>
              </w:rPr>
            </w:pPr>
            <w:r>
              <w:rPr>
                <w:rFonts w:hint="eastAsia"/>
                <w:szCs w:val="21"/>
              </w:rPr>
              <w:t>第七十二条食品经营者应当按照食品标签标示的警示标志、警示说明或者注意事项的要求销售食品。</w:t>
            </w:r>
          </w:p>
          <w:p>
            <w:pPr>
              <w:spacing w:line="280" w:lineRule="exact"/>
              <w:jc w:val="center"/>
              <w:rPr>
                <w:szCs w:val="21"/>
              </w:rPr>
            </w:pPr>
            <w:r>
              <w:rPr>
                <w:rFonts w:hint="eastAsia"/>
                <w:szCs w:val="21"/>
              </w:rPr>
              <w:t>第一百二十六条第一款违反本法规定，有下列情形之一的，由县级以上人民政府食品安全监督管理部门责令改正，给予警告；拒不改正的，处五千元以上五万元以下罚款；情节严重的，责令停产停业，直至吊销许可证：</w:t>
            </w:r>
          </w:p>
          <w:p>
            <w:pPr>
              <w:spacing w:line="280" w:lineRule="exact"/>
              <w:jc w:val="center"/>
              <w:rPr>
                <w:szCs w:val="21"/>
              </w:rPr>
            </w:pPr>
            <w:r>
              <w:rPr>
                <w:rFonts w:hint="eastAsia"/>
                <w:szCs w:val="21"/>
              </w:rPr>
              <w:t>（七）食品经营者未按规定要求销售食品；</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散装食品的容器、外包装上应当标明食品的名称、生产日期或者生产批号、保质期以及生产经营者名称、地址、联系方式等内容。散装熟食制品还应当标明保存条件和温度。保质期不超过72小时的，应当标注到小时，并采用24小时制标注。标注的生产日期应当与生产者在出厂时标注的生产日期一致。</w:t>
            </w:r>
          </w:p>
          <w:p>
            <w:pPr>
              <w:spacing w:line="280" w:lineRule="exact"/>
              <w:jc w:val="center"/>
              <w:rPr>
                <w:szCs w:val="21"/>
              </w:rPr>
            </w:pPr>
            <w:r>
              <w:rPr>
                <w:rFonts w:hint="eastAsia"/>
                <w:szCs w:val="21"/>
              </w:rPr>
              <w:t>直接入口的散装食品应当使用加盖或非敞开式容器盛放。不得未采取任何防护措施销售直接入口的散装食品。避免在销售过程中仅使用覆盖塑料膜等简单方式进行防护。</w:t>
            </w:r>
          </w:p>
          <w:p>
            <w:pPr>
              <w:spacing w:line="280" w:lineRule="exact"/>
              <w:jc w:val="center"/>
              <w:rPr>
                <w:szCs w:val="21"/>
              </w:rPr>
            </w:pPr>
            <w:r>
              <w:rPr>
                <w:rFonts w:hint="eastAsia"/>
                <w:szCs w:val="21"/>
              </w:rPr>
              <w:t>应当采取相关措施避免消费者直接接触直接入口的散装食品。鼓励对直接入口的散装食品以适宜方式简单包装后进行销售，可在包装上加贴标签，并注明食品名称、生产日期和保质期等事项，但不得更改原有的生产日期或延长保质期。</w:t>
            </w:r>
          </w:p>
          <w:p>
            <w:pPr>
              <w:spacing w:line="280" w:lineRule="exact"/>
              <w:jc w:val="center"/>
              <w:rPr>
                <w:szCs w:val="21"/>
              </w:rPr>
            </w:pP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16</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食品经营企业应当建立健全食品安全管理制度，加强人员管理。食品经营人员应当保持个人卫生</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食品经营企业未按规定建立食品安全管理制度。</w:t>
            </w:r>
          </w:p>
          <w:p>
            <w:pPr>
              <w:spacing w:line="280" w:lineRule="exact"/>
              <w:jc w:val="center"/>
              <w:rPr>
                <w:szCs w:val="21"/>
              </w:rPr>
            </w:pPr>
            <w:r>
              <w:rPr>
                <w:rFonts w:hint="eastAsia"/>
                <w:szCs w:val="21"/>
              </w:rPr>
              <w:t>食品经营企业未按规定配备或培训、考核食品安全管理人员。</w:t>
            </w:r>
          </w:p>
          <w:p>
            <w:pPr>
              <w:spacing w:line="280" w:lineRule="exact"/>
              <w:jc w:val="center"/>
              <w:rPr>
                <w:szCs w:val="21"/>
              </w:rPr>
            </w:pPr>
            <w:r>
              <w:rPr>
                <w:rFonts w:hint="eastAsia"/>
                <w:szCs w:val="21"/>
              </w:rPr>
              <w:t>食品经营人员未保持个人卫生，经营食品时未将手洗净并穿戴清洁的工作衣、帽等，或销售无包装的直接入口食品时未使用无毒、清洁的容器、售货工具和设备。</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第三十三条第一款  食品生产经营应当符合食品安全标准，并符合下列要求：（八）食品生产经营人员应当保持个人卫生，生产经营食品时，应当将手洗净，穿戴清洁的工作衣、帽等；销售无包装的直接入口食品时，应当使用无毒、清洁的容器、售货工具和设备；</w:t>
            </w:r>
          </w:p>
          <w:p>
            <w:pPr>
              <w:spacing w:line="280" w:lineRule="exact"/>
              <w:jc w:val="center"/>
              <w:rPr>
                <w:szCs w:val="21"/>
              </w:rPr>
            </w:pPr>
            <w:r>
              <w:rPr>
                <w:rFonts w:hint="eastAsia"/>
                <w:szCs w:val="21"/>
              </w:rPr>
              <w:t>第四十四条第一款  食品生产经营企业应当建立健全食品安全管理制度，对职工进行食品安全知识培训，加强食品检验工作，依法从事生产经营活动。</w:t>
            </w:r>
          </w:p>
          <w:p>
            <w:pPr>
              <w:spacing w:line="280" w:lineRule="exact"/>
              <w:jc w:val="center"/>
              <w:rPr>
                <w:szCs w:val="21"/>
              </w:rPr>
            </w:pPr>
            <w:r>
              <w:rPr>
                <w:rFonts w:hint="eastAsia"/>
                <w:szCs w:val="21"/>
              </w:rPr>
              <w:t>第四十四条第三款  食品生产经营企业应当配备食品安全管理人员，加强对其培训和考核。经考核不具备食品安全管理能力的，不得上岗。食品安全监督管理部门应当对企业食品安全管理人员随机进行监督抽查考核并公布考核情况。监督抽查考核不得收取费用。</w:t>
            </w:r>
          </w:p>
          <w:p>
            <w:pPr>
              <w:spacing w:line="280" w:lineRule="exact"/>
              <w:jc w:val="center"/>
              <w:rPr>
                <w:szCs w:val="21"/>
              </w:rPr>
            </w:pPr>
            <w:r>
              <w:rPr>
                <w:rFonts w:hint="eastAsia"/>
                <w:szCs w:val="21"/>
              </w:rPr>
              <w:t>第一百二十六条第一款  违反本法规定，有下列情形之一的，由县级以上人民政府食品安全监督管理部门责令改正，给予警告；拒不改正的，处五千元以上五万元以下罚款；情节严重的，责令停产停业，直至吊销许可证：《中华人民共和国食品安全法实施条例》</w:t>
            </w:r>
          </w:p>
          <w:p>
            <w:pPr>
              <w:spacing w:line="280" w:lineRule="exact"/>
              <w:jc w:val="center"/>
              <w:rPr>
                <w:szCs w:val="21"/>
              </w:rPr>
            </w:pPr>
            <w:r>
              <w:rPr>
                <w:rFonts w:hint="eastAsia"/>
                <w:szCs w:val="21"/>
              </w:rPr>
              <w:t>第七十条  除食品安全法第一百二十五条第一款、第一百二十六条规定的情形外，食品生产经营者的生产经营行为不符合食品安全法第三十三条第一款第五项、第七项至第十项的规定，或者不符合有关食品生产经营过程要求的食品安全国家标准的，依照食品安全法第一百二十六条第一款、本条例第七十五条的规定给予处罚。</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应当建立并执行以下食品安全管理制度：⑴从业人员健康管理制度；⑵进货查验制度；⑶餐饮具清洗消毒保洁制度；⑷食品安全自检自查与报告制度；⑸从业人员培训管理制度；⑹食品安全管理员制度；⑺场所及设施设备清洗消毒和维修保养制度；⑻食品贮存管理制度；⑼食品经营过程与控制制度；⑽食品添加剂使用制度；（11）废弃物处置制度；⑫食品安全追溯制度；（B）不合格食品召回制度等</w:t>
            </w:r>
          </w:p>
          <w:p>
            <w:pPr>
              <w:spacing w:line="280" w:lineRule="exact"/>
              <w:jc w:val="center"/>
              <w:rPr>
                <w:szCs w:val="21"/>
              </w:rPr>
            </w:pPr>
            <w:r>
              <w:rPr>
                <w:rFonts w:hint="eastAsia"/>
                <w:szCs w:val="21"/>
              </w:rPr>
              <w:t>2.在人员管理方面应当做好以下工作：⑴明确各岗位食品安全管理责任，主要负责人知晓食品安全责任；显著位置统一公示；</w:t>
            </w:r>
          </w:p>
          <w:p>
            <w:pPr>
              <w:spacing w:line="280" w:lineRule="exact"/>
              <w:jc w:val="center"/>
              <w:rPr>
                <w:szCs w:val="21"/>
              </w:rPr>
            </w:pPr>
            <w:r>
              <w:rPr>
                <w:rFonts w:hint="eastAsia"/>
                <w:szCs w:val="21"/>
              </w:rPr>
              <w:t>⑵配备专职食品安全管理员，并加强对其培训和考核。经考核不具备食品安全管理能力的，不得上岗；⑶不得聘用禁聘人员从事食品安全管理工作；⑷建立并执行从业人员健康管理制度，从事接触直接入口食品工作的食品生产经营人员应当每年进行健康检查，取得健康证明后方可上岗工作；⑸建立从业人员健康档案，每日应对从业人员进行岗前健康检查并做好记录。从业人员的健康证明应当在⑹每年组织从业人员进行食品安全知识培训，有完整的从业人员食品安全培训记录和能力考核记录；</w:t>
            </w:r>
          </w:p>
          <w:p>
            <w:pPr>
              <w:spacing w:line="280" w:lineRule="exact"/>
              <w:jc w:val="center"/>
              <w:rPr>
                <w:szCs w:val="21"/>
              </w:rPr>
            </w:pPr>
            <w:r>
              <w:rPr>
                <w:rFonts w:hint="eastAsia"/>
                <w:szCs w:val="21"/>
              </w:rPr>
              <w:t>⑺每年都应当按规定组织食品安全管理人员进行食品安全知识培训，并对其食品安全管理能力进行考核；⑻从业人员穿戴清洁的工作衣帽，双手清洁，保持个人卫生，专间和专用操作场所内的操作人员还应当穿戴专用工作服，并佩戴口罩。</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17</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食品经营者应当履行进货查验义务</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1、食品经营者采购食品，未查验供货者的许可证和食品出厂检验合格证或其他合格证明。</w:t>
            </w:r>
          </w:p>
          <w:p>
            <w:pPr>
              <w:spacing w:line="280" w:lineRule="exact"/>
              <w:jc w:val="center"/>
              <w:rPr>
                <w:szCs w:val="21"/>
              </w:rPr>
            </w:pPr>
            <w:r>
              <w:rPr>
                <w:rFonts w:hint="eastAsia"/>
                <w:szCs w:val="21"/>
              </w:rPr>
              <w:t>食品经营企业未建立食品进货查验记录制度，或记录和凭证保存期限少于产品保质期满后六个月，没有明确保质期的保存期限少于二年。</w:t>
            </w:r>
          </w:p>
          <w:p>
            <w:pPr>
              <w:spacing w:line="280" w:lineRule="exact"/>
              <w:jc w:val="center"/>
              <w:rPr>
                <w:szCs w:val="21"/>
              </w:rPr>
            </w:pPr>
            <w:r>
              <w:rPr>
                <w:rFonts w:hint="eastAsia"/>
                <w:szCs w:val="21"/>
              </w:rPr>
              <w:t>2、食品添加剂经营者未建立食品添加剂进货查验记录制度，或记录和凭证保存期限少于产品保质期满后六个月，没有明确保质期的保存期限少于二年。</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第五十三条第一款  食品经营者采购食品，应当查验供货者的许可证和食品出厂检验合格证或者其他合格证明（以下称合格证明文件）。</w:t>
            </w:r>
          </w:p>
          <w:p>
            <w:pPr>
              <w:spacing w:line="280" w:lineRule="exact"/>
              <w:jc w:val="center"/>
              <w:rPr>
                <w:szCs w:val="21"/>
              </w:rPr>
            </w:pPr>
            <w:r>
              <w:rPr>
                <w:rFonts w:hint="eastAsia"/>
                <w:szCs w:val="21"/>
              </w:rPr>
              <w:t>第五十三条第二款  食品经营企业应当建立食品进货查验记录制度，如实记录食品的名称、规格、数量、生产日期或者生产批号、保质期、进货日期以及供货者名称、地址、联系方式等内容，并保存相关凭证。记录和凭证保存期限应当符合本法第五十条第二款的规定。</w:t>
            </w:r>
          </w:p>
          <w:p>
            <w:pPr>
              <w:spacing w:line="280" w:lineRule="exact"/>
              <w:jc w:val="center"/>
              <w:rPr>
                <w:szCs w:val="21"/>
              </w:rPr>
            </w:pPr>
            <w:r>
              <w:rPr>
                <w:rFonts w:hint="eastAsia"/>
                <w:szCs w:val="21"/>
              </w:rPr>
              <w:t>第五十三条第四款  从事食品批发业务的经营企业应当建立食品销售记录制度，如实记录批发食品的名称、规格、数量、生产日期或者生产批号、保质期、销售日期以及购货者名称、地址、联系方式等内容，并保存相关凭证。记录和凭证保存期限应当符合本法第五十条第二款的规定。</w:t>
            </w:r>
          </w:p>
          <w:p>
            <w:pPr>
              <w:spacing w:line="280" w:lineRule="exact"/>
              <w:jc w:val="center"/>
              <w:rPr>
                <w:szCs w:val="21"/>
              </w:rPr>
            </w:pPr>
            <w:r>
              <w:rPr>
                <w:rFonts w:hint="eastAsia"/>
                <w:szCs w:val="21"/>
              </w:rPr>
              <w:t>第六十条  食品添加剂经营者采购食品添加剂，应当依法查验供货者的许可证和产品合格证明文件，如实记录食品添加剂的名称、规格、数量、生产日期或者生产批号、保质期、进货日期以及供货者名称、地址、联系方式等内容，并保存相关凭证。记录和凭证保存期限应当符合本法第五十条第二款的规定。</w:t>
            </w:r>
          </w:p>
          <w:p>
            <w:pPr>
              <w:spacing w:line="280" w:lineRule="exact"/>
              <w:jc w:val="center"/>
              <w:rPr>
                <w:szCs w:val="21"/>
              </w:rPr>
            </w:pPr>
            <w:r>
              <w:rPr>
                <w:rFonts w:hint="eastAsia"/>
                <w:szCs w:val="21"/>
              </w:rPr>
              <w:t>第一百二十六条第一款违反本法规定，有下列情形之一的，由县级以上人民政府食品安全监督管理部门责令改正，给予警告；拒不改正的，处五千元以上五万元以下罚款；情节严重的，责令停产停业，直至吊销许可证：</w:t>
            </w:r>
          </w:p>
          <w:p>
            <w:pPr>
              <w:spacing w:line="280" w:lineRule="exact"/>
              <w:jc w:val="center"/>
              <w:rPr>
                <w:szCs w:val="21"/>
              </w:rPr>
            </w:pPr>
            <w:r>
              <w:rPr>
                <w:rFonts w:hint="eastAsia"/>
                <w:szCs w:val="21"/>
              </w:rPr>
              <w:t>（三）食品、食品添加剂生产经营者进货时未查验许可证和相关证明文件，或者未按规定建立并遵守进货查验记录、出厂检验记录和销售记录制度；</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应当建立食品进货查验记录制度，明确进货查验的方式、内容、项目、负责人、记录方式内容、相关记录和凭证保存等要求。</w:t>
            </w:r>
          </w:p>
          <w:p>
            <w:pPr>
              <w:spacing w:line="280" w:lineRule="exact"/>
              <w:jc w:val="center"/>
              <w:rPr>
                <w:szCs w:val="21"/>
              </w:rPr>
            </w:pPr>
            <w:r>
              <w:rPr>
                <w:rFonts w:hint="eastAsia"/>
                <w:szCs w:val="21"/>
              </w:rPr>
              <w:t>应当查验供货者的许可证和食品出厂检验合格证或者其他合格证明：</w:t>
            </w:r>
          </w:p>
          <w:p>
            <w:pPr>
              <w:spacing w:line="280" w:lineRule="exact"/>
              <w:jc w:val="center"/>
              <w:rPr>
                <w:szCs w:val="21"/>
              </w:rPr>
            </w:pPr>
            <w:r>
              <w:rPr>
                <w:rFonts w:hint="eastAsia"/>
                <w:szCs w:val="21"/>
              </w:rPr>
              <w:t>（1）从生产单位采购食品、食品添加剂的，查看其食品、食品添加剂生产许可证或其复印件，查看生产单位出具的食品出厂检验合格证，或检验机构出具的检验合格报告等其他合格证明。采购散装熟食制品的，还应当查验挂钩生产单位签订合作协议（合同）。（2）从经营单位采购食品的，查看其食品经营许可证或其复印件，查看食品出厂检验合格证或检验合格报告等其他合格证明。采购进口食品，还应当查看海关出具的入境货物检验检疫证明，应做到每一批次货证相符。</w:t>
            </w:r>
          </w:p>
          <w:p>
            <w:pPr>
              <w:spacing w:line="280" w:lineRule="exact"/>
              <w:jc w:val="center"/>
              <w:rPr>
                <w:szCs w:val="21"/>
              </w:rPr>
            </w:pPr>
            <w:r>
              <w:rPr>
                <w:rFonts w:hint="eastAsia"/>
                <w:szCs w:val="21"/>
              </w:rPr>
              <w:t>（3）</w:t>
            </w:r>
            <w:r>
              <w:rPr>
                <w:rFonts w:hint="eastAsia"/>
                <w:szCs w:val="21"/>
              </w:rPr>
              <w:tab/>
            </w:r>
            <w:r>
              <w:rPr>
                <w:rFonts w:hint="eastAsia"/>
                <w:szCs w:val="21"/>
              </w:rPr>
              <w:t>从经营单位采购食品添加剂的，查看其营业执照，查看产品合格证明文件。</w:t>
            </w:r>
          </w:p>
          <w:p>
            <w:pPr>
              <w:spacing w:line="280" w:lineRule="exact"/>
              <w:jc w:val="center"/>
              <w:rPr>
                <w:szCs w:val="21"/>
              </w:rPr>
            </w:pPr>
            <w:r>
              <w:rPr>
                <w:rFonts w:hint="eastAsia"/>
                <w:szCs w:val="21"/>
              </w:rPr>
              <w:t>（4）采购食用农产品，从食用农产品生产者、收购者、屠宰厂（场）采购的，查验购货凭证、合格证明文件等；从批发市场采购的，查验该市场或市场经营户出具的销售凭证。采购按照规定需要检疫和肉品品质检验的肉类，还需查验有关检验检疫合格证明。采购进口食用农产品，还应当查验入境货物检验检疫证明等证明文件。</w:t>
            </w:r>
          </w:p>
          <w:p>
            <w:pPr>
              <w:spacing w:line="280" w:lineRule="exact"/>
              <w:jc w:val="center"/>
              <w:rPr>
                <w:szCs w:val="21"/>
              </w:rPr>
            </w:pPr>
            <w:r>
              <w:rPr>
                <w:rFonts w:hint="eastAsia"/>
                <w:szCs w:val="21"/>
              </w:rPr>
              <w:t>（5）外包装核酸检测证明和业经消毒证明，或具有集中监管仓的出仓证明。</w:t>
            </w:r>
          </w:p>
          <w:p>
            <w:pPr>
              <w:spacing w:line="280" w:lineRule="exact"/>
              <w:jc w:val="center"/>
              <w:rPr>
                <w:szCs w:val="21"/>
              </w:rPr>
            </w:pPr>
            <w:r>
              <w:rPr>
                <w:rFonts w:hint="eastAsia"/>
                <w:szCs w:val="21"/>
              </w:rPr>
              <w:t>3、应当查验所采购食品、食品添加剂的感官性状等质量安全状况。</w:t>
            </w:r>
          </w:p>
          <w:p>
            <w:pPr>
              <w:spacing w:line="280" w:lineRule="exact"/>
              <w:jc w:val="center"/>
              <w:rPr>
                <w:szCs w:val="21"/>
              </w:rPr>
            </w:pPr>
            <w:r>
              <w:rPr>
                <w:rFonts w:hint="eastAsia"/>
                <w:szCs w:val="21"/>
              </w:rPr>
              <w:t>4、应当记录所采购食品、食品添加剂的名称、规格、数量、生产日期或者生产批号、保质期、进货日期以及供货者名称、地址、联系方式等内容，并保存相关凭证，以确保产品可追溯、责任可追究。</w:t>
            </w:r>
          </w:p>
          <w:p>
            <w:pPr>
              <w:spacing w:line="280" w:lineRule="exact"/>
              <w:jc w:val="center"/>
              <w:rPr>
                <w:szCs w:val="21"/>
              </w:rPr>
            </w:pPr>
            <w:r>
              <w:rPr>
                <w:rFonts w:hint="eastAsia"/>
                <w:szCs w:val="21"/>
              </w:rPr>
              <w:t>5、记录和凭证保存期限不得少于产品保质期满后六个月；没有明确保质期的，保存期限不得少于二年（从进货日起计）。进货查验资料应当及时更新。</w:t>
            </w:r>
          </w:p>
          <w:p>
            <w:pPr>
              <w:spacing w:line="280" w:lineRule="exact"/>
              <w:jc w:val="center"/>
              <w:rPr>
                <w:szCs w:val="21"/>
              </w:rPr>
            </w:pPr>
            <w:r>
              <w:rPr>
                <w:rFonts w:hint="eastAsia"/>
                <w:szCs w:val="21"/>
              </w:rPr>
              <w:t>许可证、合格证明文件等相关资料应在有效期内。</w:t>
            </w:r>
          </w:p>
          <w:p>
            <w:pPr>
              <w:spacing w:line="280" w:lineRule="exact"/>
              <w:jc w:val="center"/>
              <w:rPr>
                <w:szCs w:val="21"/>
              </w:rPr>
            </w:pPr>
          </w:p>
          <w:p>
            <w:pPr>
              <w:spacing w:line="280" w:lineRule="exact"/>
              <w:jc w:val="center"/>
              <w:rPr>
                <w:szCs w:val="21"/>
              </w:rPr>
            </w:pP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18</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符合从业人员健康管理法律要求</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安排患有国务院卫生行政部门规定的有碍食品安全疾病的人员从事接触直接入口食品的工作</w:t>
            </w:r>
          </w:p>
          <w:p>
            <w:pPr>
              <w:spacing w:line="280" w:lineRule="exact"/>
              <w:jc w:val="center"/>
              <w:rPr>
                <w:szCs w:val="21"/>
              </w:rPr>
            </w:pPr>
            <w:r>
              <w:rPr>
                <w:rFonts w:hint="eastAsia"/>
                <w:szCs w:val="21"/>
              </w:rPr>
              <w:t>安排未取得健康证明的人员从事接触直接入口食品的工作。</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第四十五条第一款  食品生产经营者应当建立并执行从业人员健康管理制度。患有国务院卫生行政部门规定的有碍食品安全疾病的人员，不得从事接触直接入口食品的工作。</w:t>
            </w:r>
          </w:p>
          <w:p>
            <w:pPr>
              <w:spacing w:line="280" w:lineRule="exact"/>
              <w:jc w:val="center"/>
              <w:rPr>
                <w:szCs w:val="21"/>
              </w:rPr>
            </w:pPr>
            <w:r>
              <w:rPr>
                <w:rFonts w:hint="eastAsia"/>
                <w:szCs w:val="21"/>
              </w:rPr>
              <w:t>第四十五条第二款  从事接触直接入口食品工作的食品生产经营人员应当每年进行健康检查，取得健康证明后方可上岗工作。</w:t>
            </w:r>
          </w:p>
          <w:p>
            <w:pPr>
              <w:spacing w:line="280" w:lineRule="exact"/>
              <w:jc w:val="center"/>
              <w:rPr>
                <w:szCs w:val="21"/>
              </w:rPr>
            </w:pPr>
            <w:r>
              <w:rPr>
                <w:rFonts w:hint="eastAsia"/>
                <w:szCs w:val="21"/>
              </w:rPr>
              <w:t>第一百二十六条第一款  违反本法规定，有下列情形之一的，由县级以上人民政府食品安全监督管理部门责令改正，给予警告；拒不改正的，处五千元以上五万元以下罚款；情节严重的，责令停产停业，直至吊销许可证：（六）食品生产经营者安排未取得健康证明或者患有国务院卫生行政部门规定的有碍食品安全疾病的人员从事接触直接入口食品的工作；</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应当建立从业人员健康管理制度，明确并落实以下主要内容：（1）从业人员健康情况的检查方式、频次和负责人员；（2）从事接触直接入口食品工作的人员应当每年进行健康体检，取得健康证明后方可上岗工作。对餐饮、制售和销售直接入口散装食品的从业人员，应当在每天上岗前对其进行健康状况检查并记录检查情况。鼓励对其他从业人员进行每日上岗前健康检查；</w:t>
            </w:r>
          </w:p>
          <w:p>
            <w:pPr>
              <w:spacing w:line="280" w:lineRule="exact"/>
              <w:jc w:val="center"/>
              <w:rPr>
                <w:szCs w:val="21"/>
              </w:rPr>
            </w:pPr>
            <w:r>
              <w:rPr>
                <w:rFonts w:hint="eastAsia"/>
                <w:szCs w:val="21"/>
              </w:rPr>
              <w:t>（3）健康证明应当在有效期内，且人证相一致；</w:t>
            </w:r>
          </w:p>
          <w:p>
            <w:pPr>
              <w:spacing w:line="280" w:lineRule="exact"/>
              <w:jc w:val="center"/>
              <w:rPr>
                <w:szCs w:val="21"/>
              </w:rPr>
            </w:pPr>
            <w:r>
              <w:rPr>
                <w:rFonts w:hint="eastAsia"/>
                <w:szCs w:val="21"/>
              </w:rPr>
              <w:t>（4）经营过程中的人员健康管理要求等。</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19</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食品生产经营者应当建立食品安全自查制度。</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食品经营者未建立食品安全自查制度并定期对食品安全状况进行检查评价，或经营条件发生变化未按规定处理。</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第四十七条  食品生产经营者应当建立食品安全自查制度，定期对食品安全状况进行检查评价。生产经营条件发生变化，不再符合食品安全要求的，食品生产经营者应当立即采取整改措施；有发生食品安全事故潜在风险的，应当立即停止食品生产经营活动，并向所在地县级人民政府食品安全监督管理部门报告。</w:t>
            </w:r>
          </w:p>
          <w:p>
            <w:pPr>
              <w:spacing w:line="280" w:lineRule="exact"/>
              <w:jc w:val="center"/>
              <w:rPr>
                <w:szCs w:val="21"/>
              </w:rPr>
            </w:pPr>
            <w:r>
              <w:rPr>
                <w:rFonts w:hint="eastAsia"/>
                <w:szCs w:val="21"/>
              </w:rPr>
              <w:t>第一百二十六条第一款  违反本法规定，有下列情形之一的，由县级以上人民政府食品安全监督管理部门责令改正，给予警告；拒不改正的，处五千元以上五万元以下罚款；情节严重的，责令停产停业，直至吊销许可证：（十一）食品生产经营者未定期对食品安全状况进行检查评价，或者生产经营条件发生变化，未按规定处理；</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应当建立食品安全自查制度，明确自查的内容、人员、方式、频次、记录方式、整改要求等；</w:t>
            </w:r>
          </w:p>
          <w:p>
            <w:pPr>
              <w:spacing w:line="280" w:lineRule="exact"/>
              <w:jc w:val="center"/>
              <w:rPr>
                <w:szCs w:val="21"/>
              </w:rPr>
            </w:pPr>
            <w:r>
              <w:rPr>
                <w:rFonts w:hint="eastAsia"/>
                <w:szCs w:val="21"/>
              </w:rPr>
              <w:t>餐饮单位按照《江苏省餐饮服务经营者食品安全自查指南》要求开展常规自查和全项目自查，食品销售单位按照自查制度规定，定期对食品安全状况进行自查评价；。</w:t>
            </w:r>
          </w:p>
          <w:p>
            <w:pPr>
              <w:spacing w:line="280" w:lineRule="exact"/>
              <w:jc w:val="center"/>
              <w:rPr>
                <w:szCs w:val="21"/>
              </w:rPr>
            </w:pPr>
            <w:r>
              <w:rPr>
                <w:rFonts w:hint="eastAsia"/>
                <w:szCs w:val="21"/>
              </w:rPr>
              <w:t>对自查（检查）发现的问题，逐项分析原因并立即进行整改；</w:t>
            </w:r>
          </w:p>
          <w:p>
            <w:pPr>
              <w:spacing w:line="280" w:lineRule="exact"/>
              <w:jc w:val="center"/>
              <w:rPr>
                <w:szCs w:val="21"/>
              </w:rPr>
            </w:pPr>
            <w:r>
              <w:rPr>
                <w:rFonts w:hint="eastAsia"/>
                <w:szCs w:val="21"/>
              </w:rPr>
              <w:t>有发生食品安全事故潜在风险的，应当立即停止食品经营活动，并向所在地县级人民政府市场监督管理部门报告。</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20</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应当做好变质、超过保质期或者回收的食品管理</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食品经营者未对变质、超过保质期或回收的食品进行显著标示或单独存放在有明确标志的场所，或未及时对上述食品采取无害化处理、销毁等措施并如实记录</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《中华人民共和国食品安全法实施条例》</w:t>
            </w:r>
          </w:p>
          <w:p>
            <w:pPr>
              <w:spacing w:line="280" w:lineRule="exact"/>
              <w:jc w:val="center"/>
              <w:rPr>
                <w:szCs w:val="21"/>
              </w:rPr>
            </w:pPr>
            <w:r>
              <w:rPr>
                <w:rFonts w:hint="eastAsia"/>
                <w:szCs w:val="21"/>
              </w:rPr>
              <w:t>第二十九条第一款  食品生产经营者应当对变质、超过保质期或者回收的食品进行显著标示或者单独存放在有明确标志的场所，及时采取无害化处理、销毁等措施并如实记录。</w:t>
            </w:r>
          </w:p>
          <w:p>
            <w:pPr>
              <w:spacing w:line="280" w:lineRule="exact"/>
              <w:jc w:val="center"/>
              <w:rPr>
                <w:szCs w:val="21"/>
              </w:rPr>
            </w:pPr>
            <w:r>
              <w:rPr>
                <w:rFonts w:hint="eastAsia"/>
                <w:szCs w:val="21"/>
              </w:rPr>
              <w:t>第六十九条  有下列情形之一的，依照食品安全法第一百二十六条第一款、本条例第七十五条的规定给予处罚：（三）食品生产经营者未按照规定对变质、超过保质期或者回收的食品进行标示或者存放，或者未及时对上述食品采取无害化处理、销毁等措施并如实记录；</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1.在相对固定位置划分不合格食品区并明确标志，单独存放变质、超过保质期或者回收的食品，并对食品进行显著标示。</w:t>
            </w:r>
          </w:p>
          <w:p>
            <w:pPr>
              <w:spacing w:line="280" w:lineRule="exact"/>
              <w:jc w:val="center"/>
              <w:rPr>
                <w:szCs w:val="21"/>
              </w:rPr>
            </w:pPr>
            <w:r>
              <w:rPr>
                <w:rFonts w:hint="eastAsia"/>
                <w:szCs w:val="21"/>
              </w:rPr>
              <w:t>2、应当按规定采取补救、无害化处理、销毁等处置措施并如实记录。</w:t>
            </w:r>
          </w:p>
          <w:p>
            <w:pPr>
              <w:spacing w:line="280" w:lineRule="exact"/>
              <w:jc w:val="center"/>
              <w:rPr>
                <w:szCs w:val="21"/>
              </w:rPr>
            </w:pPr>
            <w:r>
              <w:rPr>
                <w:rFonts w:hint="eastAsia"/>
                <w:szCs w:val="21"/>
              </w:rPr>
              <w:t>3、对违法添加非食用物质、腐败变质、病死畜禽等严重危害人体健康和生命安全的不安全食品，应当立即就地销毁。不具备就地销毁条件的，可由不安全食品生产经营者集中销毁处理。</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21</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食品经营者用水应当符合国家规定的生活饮用水卫生标准。</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食品经营者用水不符合国家规定的生活饮用水卫生标准。</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第三十三条第一款  食品生产经营应当符合食品安全标准，并符合下列要求：（九）用水应当符合国家规定的生活饮用水卫生标准；</w:t>
            </w:r>
          </w:p>
          <w:p>
            <w:pPr>
              <w:spacing w:line="280" w:lineRule="exact"/>
              <w:jc w:val="center"/>
              <w:rPr>
                <w:szCs w:val="21"/>
              </w:rPr>
            </w:pPr>
            <w:r>
              <w:rPr>
                <w:rFonts w:hint="eastAsia"/>
                <w:szCs w:val="21"/>
              </w:rPr>
              <w:t>第一百二十六条第一款  违反本法规定，有下列情形之一的，由县级以上人民政府食品安全监督管理部门责令改正，给予警告；拒不改正的，处五千元以上五万元以下罚款；情节严重的，责令停产停业，直至吊销许可证：</w:t>
            </w:r>
          </w:p>
          <w:p>
            <w:pPr>
              <w:spacing w:line="280" w:lineRule="exact"/>
              <w:jc w:val="center"/>
              <w:rPr>
                <w:szCs w:val="21"/>
              </w:rPr>
            </w:pPr>
            <w:r>
              <w:rPr>
                <w:rFonts w:hint="eastAsia"/>
                <w:szCs w:val="21"/>
              </w:rPr>
              <w:t>《中华人民共和国食品安全法实施条例》</w:t>
            </w:r>
          </w:p>
          <w:p>
            <w:pPr>
              <w:spacing w:line="280" w:lineRule="exact"/>
              <w:jc w:val="center"/>
              <w:rPr>
                <w:szCs w:val="21"/>
              </w:rPr>
            </w:pPr>
            <w:r>
              <w:rPr>
                <w:rFonts w:hint="eastAsia"/>
                <w:szCs w:val="21"/>
              </w:rPr>
              <w:t>第七十条  除食品安全法第一百二十五条第一款、第一百二十六条规定的情形夕卜，食品生产经营者的生产经营行为不符合食品安全法第三十三条第一款第五项、第七项至第十项的规定，或者不符合有关食品生产经营过程要求的食品安全国家标准的，依照食品安全法第一百二十六条第一款、本条例第七十五条的规定给予处罚。</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食品经营者使用非城市管网供水的经营者，应当确保用水符合生活饮用水卫生标准。</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22</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食品经营者使用的洗涤剂、消毒剂应当对人体安全、无害。</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食品经营者未使用对人体安全、无害的洗涤齐叭消毒剂。</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第三十三条第一款  食品生产经营应当符合食品安全标准，并符合下列要求：（十）使用的洗涤剂、消毒剂应当对人体安全、无害；</w:t>
            </w:r>
          </w:p>
          <w:p>
            <w:pPr>
              <w:spacing w:line="280" w:lineRule="exact"/>
              <w:jc w:val="center"/>
              <w:rPr>
                <w:szCs w:val="21"/>
              </w:rPr>
            </w:pPr>
            <w:r>
              <w:rPr>
                <w:rFonts w:hint="eastAsia"/>
                <w:szCs w:val="21"/>
              </w:rPr>
              <w:t>第一百二十六条第一款  违反本法规定，有下列情形之一的，由县级以上人民政府食品安全监督管理部门责令改正，给予警告；拒不改正的，处五千元以上五万元以下罚款；情节严重的，责令停产停业，直至吊销许可证：</w:t>
            </w:r>
          </w:p>
          <w:p>
            <w:pPr>
              <w:spacing w:line="280" w:lineRule="exact"/>
              <w:jc w:val="center"/>
              <w:rPr>
                <w:szCs w:val="21"/>
              </w:rPr>
            </w:pPr>
            <w:r>
              <w:rPr>
                <w:rFonts w:hint="eastAsia"/>
                <w:szCs w:val="21"/>
              </w:rPr>
              <w:t>《中华人民共和国食品安全法实施条例》</w:t>
            </w:r>
          </w:p>
          <w:p>
            <w:pPr>
              <w:spacing w:line="280" w:lineRule="exact"/>
              <w:jc w:val="center"/>
              <w:rPr>
                <w:szCs w:val="21"/>
              </w:rPr>
            </w:pPr>
            <w:r>
              <w:rPr>
                <w:rFonts w:hint="eastAsia"/>
                <w:szCs w:val="21"/>
              </w:rPr>
              <w:t>第七十条  除食品安全法第一百二十五条第一款、第一百二十六条规定的情形夕卜，食品生产经营者的生产经营行为不符合食品安全法第三十三条第一款第五项、第七项至第十项的规定，或者不符合有关食品生产经营过程要求的食品安全国家标准的，依照食品安全法第一百二十六条第一款、本条例第七十五条的规定给予处罚。</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食品经营者应当建立并执行洗涤剂、消毒剂采购、储存、使用管理制度，洗涤剂、消毒剂不得与食品原料混合存放。</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23</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集中交易市场的开办者、柜台出租者和展销会举办者，应当依法审查入场食品经营者的许可证，依法履行检查、报告等义务。</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集中交易市场的开办者、柜台出租者、展销会的举办者允许未依法取得许可的食品经营者进入市场销售食品，或未履行检查、报告等义务。</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第六十一条  集中交易市场的开办者、柜台出租者和展销会举办者，应当依法审查入场食品经营者的许可证，明确其食品安全管理责任，定期对其经营环境和条件进行检查，发现其有违反本法规定行为的，应当及时制止并立即报告所在地县级人民政府食品安全监督管理部门。</w:t>
            </w:r>
          </w:p>
          <w:p>
            <w:pPr>
              <w:spacing w:line="280" w:lineRule="exact"/>
              <w:jc w:val="center"/>
              <w:rPr>
                <w:szCs w:val="21"/>
              </w:rPr>
            </w:pPr>
            <w:r>
              <w:rPr>
                <w:rFonts w:hint="eastAsia"/>
                <w:szCs w:val="21"/>
              </w:rPr>
              <w:t>第一百三十条第一款  违反本法规定，集中交易市场的开办者、柜台出租者、展销会的举办者允许未依法取得许可的食品经营者进入市场销售食品，或者未履行检查、报告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集中交易市场的开办者、柜台出租者和展销会举办者，应当依法审查入场食品经营者的许可证，明确其食品安全管理责任，定期对其经营环境和条件进行检查，发现其有违反本法规定行为的，应当及时制止并立即报告所在地县级人民政府食品安全监督管理部门。</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24</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食品贮存和运输需要符合法律要求</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1.食品经营者贮存场所未保持环境整洁并与有毒、有害场所及其他污染源保持规定的距离</w:t>
            </w:r>
          </w:p>
          <w:p>
            <w:pPr>
              <w:spacing w:line="280" w:lineRule="exact"/>
              <w:jc w:val="center"/>
              <w:rPr>
                <w:szCs w:val="21"/>
              </w:rPr>
            </w:pPr>
            <w:r>
              <w:rPr>
                <w:rFonts w:hint="eastAsia"/>
                <w:szCs w:val="21"/>
              </w:rPr>
              <w:t>2.贮存食品的容器、工具和设备未做到安全、无害并保持清洁，或不符合保证食品安全所需的温度、湿度等特殊要求，或将食品与有毒、有害物品一同贮存</w:t>
            </w:r>
          </w:p>
          <w:p>
            <w:pPr>
              <w:spacing w:line="280" w:lineRule="exact"/>
              <w:jc w:val="center"/>
              <w:rPr>
                <w:szCs w:val="21"/>
              </w:rPr>
            </w:pPr>
            <w:r>
              <w:rPr>
                <w:rFonts w:hint="eastAsia"/>
                <w:szCs w:val="21"/>
              </w:rPr>
              <w:t>3.食品经营者未按保证食品安全的要求贮存食品，未定期检查库存并及时清理变质或超过保质期的食品。</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第三十三条第一款  食品生产经营应当符合食品安全标准，并符合下列要求：（一）具有与生产经营的食品品种、数量相适应的食品原料处理和食品加工、包装、贮存等场所，保持该场所环境整洁，并与有毒、有害场所以及其他污染源保持规定的距离；（六）贮存、运输和装卸食品的容器、工具和设备应当安全、无害，保持清洁，防止食品污染，并符合保证食品安全所需的温度、湿度等特殊要求，不得将食品与有毒、有害物品一同贮存、运输；</w:t>
            </w:r>
          </w:p>
          <w:p>
            <w:pPr>
              <w:spacing w:line="280" w:lineRule="exact"/>
              <w:jc w:val="center"/>
              <w:rPr>
                <w:szCs w:val="21"/>
              </w:rPr>
            </w:pPr>
            <w:r>
              <w:rPr>
                <w:rFonts w:hint="eastAsia"/>
                <w:szCs w:val="21"/>
              </w:rPr>
              <w:t>第五十四条第一款  食品经营者应当按照保证食品安全的要求贮存食品，定期检查库存食品，及时清理变质或者超过保质期的食品。第五十四条第二款食品经营者贮存散装食品，应当在贮存位置标明食品的名称、生产日期或者生产批号、保质期、生产者名称及联系方式等内容。</w:t>
            </w:r>
          </w:p>
          <w:p>
            <w:pPr>
              <w:spacing w:line="280" w:lineRule="exact"/>
              <w:jc w:val="center"/>
              <w:rPr>
                <w:szCs w:val="21"/>
              </w:rPr>
            </w:pPr>
            <w:r>
              <w:rPr>
                <w:rFonts w:hint="eastAsia"/>
                <w:szCs w:val="21"/>
              </w:rPr>
              <w:t>第一百三十二条  违反本法规定，未按要求进行食品贮存、运输和装卸的，由县级以上人民政府食品安全监督管理等部门按照各自职责分工责令改正，给予警告；拒不改正的，责令停产停业，并处一万元以上五万元以下罚款；情节严重的，吊销许可证。</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食品经营者在食品贮存管理中应当：</w:t>
            </w:r>
          </w:p>
          <w:p>
            <w:pPr>
              <w:spacing w:line="280" w:lineRule="exact"/>
              <w:jc w:val="center"/>
              <w:rPr>
                <w:szCs w:val="21"/>
              </w:rPr>
            </w:pPr>
            <w:r>
              <w:rPr>
                <w:rFonts w:hint="eastAsia"/>
                <w:szCs w:val="21"/>
              </w:rPr>
              <w:t>1.在经营场所外设置仓库（包括自有和租赁）的，应当向发证地市场监管部门报告，并在副本上载明仓库具体地址。外设仓库地址发生变化的，应当在变化后10个工作日内向原发证的市场监管部门报告。</w:t>
            </w:r>
          </w:p>
          <w:p>
            <w:pPr>
              <w:spacing w:line="280" w:lineRule="exact"/>
              <w:jc w:val="center"/>
              <w:rPr>
                <w:szCs w:val="21"/>
              </w:rPr>
            </w:pPr>
            <w:r>
              <w:rPr>
                <w:rFonts w:hint="eastAsia"/>
                <w:szCs w:val="21"/>
              </w:rPr>
              <w:t>2.委托贮存食品的，应当选择具有合法资质的贮存服务提供者，查验其资质情况、食品安全保障能力，并留存相关证明文件。委托非食品生产经营者贮存有温度、湿度等特殊要求食品的，还应当审查其备案情况；监督贮存服务提供者按照合同、协议等明确的保证食品安全的要求贮存食品，并留存监督记录；</w:t>
            </w:r>
          </w:p>
          <w:p>
            <w:pPr>
              <w:spacing w:line="280" w:lineRule="exact"/>
              <w:jc w:val="center"/>
              <w:rPr>
                <w:szCs w:val="21"/>
              </w:rPr>
            </w:pPr>
            <w:r>
              <w:rPr>
                <w:rFonts w:hint="eastAsia"/>
                <w:szCs w:val="21"/>
              </w:rPr>
              <w:t>委托贮存冷藏冷冻食品的，还应当留存冷藏冷冻食品温度记录。</w:t>
            </w:r>
          </w:p>
          <w:p>
            <w:pPr>
              <w:spacing w:line="280" w:lineRule="exact"/>
              <w:jc w:val="center"/>
              <w:rPr>
                <w:szCs w:val="21"/>
              </w:rPr>
            </w:pPr>
            <w:r>
              <w:rPr>
                <w:rFonts w:hint="eastAsia"/>
                <w:szCs w:val="21"/>
              </w:rPr>
              <w:t>3、食品与非食品、生食与熟食应当有适当的分隔措施、固定的存放位置和标识，贮存容器不得混用。不得将食品与有毒有害物品同库存放。</w:t>
            </w:r>
          </w:p>
          <w:p>
            <w:pPr>
              <w:spacing w:line="280" w:lineRule="exact"/>
              <w:jc w:val="center"/>
              <w:rPr>
                <w:szCs w:val="21"/>
              </w:rPr>
            </w:pPr>
            <w:r>
              <w:rPr>
                <w:rFonts w:hint="eastAsia"/>
                <w:szCs w:val="21"/>
              </w:rPr>
              <w:t>4.在散装食品贮存位置应当标明食品的名称、生产日期或者生产批号、保质期、生产者名称及联系方式等内容。</w:t>
            </w:r>
          </w:p>
          <w:p>
            <w:pPr>
              <w:spacing w:line="280" w:lineRule="exact"/>
              <w:jc w:val="center"/>
              <w:rPr>
                <w:szCs w:val="21"/>
              </w:rPr>
            </w:pPr>
            <w:r>
              <w:rPr>
                <w:rFonts w:hint="eastAsia"/>
                <w:szCs w:val="21"/>
              </w:rPr>
              <w:t>食品经营者在食品运输管理中应当：</w:t>
            </w:r>
          </w:p>
          <w:p>
            <w:pPr>
              <w:spacing w:line="280" w:lineRule="exact"/>
              <w:jc w:val="center"/>
              <w:rPr>
                <w:szCs w:val="21"/>
              </w:rPr>
            </w:pPr>
            <w:r>
              <w:rPr>
                <w:rFonts w:hint="eastAsia"/>
                <w:szCs w:val="21"/>
              </w:rPr>
              <w:t>1、食品运输工具不得运输有毒有害物质，防止食品污染。食品不宜与非食品同车运输。</w:t>
            </w:r>
          </w:p>
          <w:p>
            <w:pPr>
              <w:spacing w:line="280" w:lineRule="exact"/>
              <w:jc w:val="center"/>
              <w:rPr>
                <w:szCs w:val="21"/>
              </w:rPr>
            </w:pPr>
            <w:r>
              <w:rPr>
                <w:rFonts w:hint="eastAsia"/>
                <w:szCs w:val="21"/>
              </w:rPr>
              <w:t>2、运输工具和装卸食品的容器、工具和设备应保持清洁和定期消毒。</w:t>
            </w:r>
          </w:p>
          <w:p>
            <w:pPr>
              <w:spacing w:line="280" w:lineRule="exact"/>
              <w:jc w:val="center"/>
              <w:rPr>
                <w:szCs w:val="21"/>
              </w:rPr>
            </w:pPr>
            <w:r>
              <w:rPr>
                <w:rFonts w:hint="eastAsia"/>
                <w:szCs w:val="21"/>
              </w:rPr>
              <w:t>3、同一运输工具运输不同食品时，应当做好分装、分离或分隔，防止交叉污染。</w:t>
            </w:r>
          </w:p>
          <w:p>
            <w:pPr>
              <w:spacing w:line="280" w:lineRule="exact"/>
              <w:jc w:val="center"/>
              <w:rPr>
                <w:szCs w:val="21"/>
              </w:rPr>
            </w:pPr>
            <w:r>
              <w:rPr>
                <w:rFonts w:hint="eastAsia"/>
                <w:szCs w:val="21"/>
              </w:rPr>
              <w:t>严格控制冷藏冷冻食品装卸货时间，装卸货期间食品温度升高幅度不超过3°C。</w:t>
            </w:r>
          </w:p>
          <w:p>
            <w:pPr>
              <w:spacing w:line="280" w:lineRule="exact"/>
              <w:jc w:val="center"/>
              <w:rPr>
                <w:szCs w:val="21"/>
              </w:rPr>
            </w:pPr>
            <w:r>
              <w:rPr>
                <w:rFonts w:hint="eastAsia"/>
                <w:szCs w:val="21"/>
              </w:rPr>
              <w:t>4、委托运输食品的，应当选择具有合法资质的运输服务提供者，查验其资质情况、食品安全保障能力，并留存相关证明文件；监督运输服务提供者按照合同、协议等明确的保证食品安全的要求运输食品，并留存监督记录；委托运输冷藏冷冻食品的，还应当留存冷藏冷冻食品温度记录。</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25</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食品经营者应当配合行政执法部门日常监管</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1、食品经营者拒绝、阻挠、干涉监督检查；</w:t>
            </w:r>
          </w:p>
          <w:p>
            <w:pPr>
              <w:spacing w:line="280" w:lineRule="exact"/>
              <w:jc w:val="center"/>
              <w:rPr>
                <w:szCs w:val="21"/>
              </w:rPr>
            </w:pPr>
            <w:r>
              <w:rPr>
                <w:rFonts w:hint="eastAsia"/>
                <w:szCs w:val="21"/>
              </w:rPr>
              <w:t>2、食品经营者无正当理由拒绝、阻挠或干涉食品安全抽样检验、风险监测；</w:t>
            </w:r>
          </w:p>
          <w:p>
            <w:pPr>
              <w:spacing w:line="280" w:lineRule="exact"/>
              <w:jc w:val="center"/>
              <w:rPr>
                <w:szCs w:val="21"/>
              </w:rPr>
            </w:pPr>
            <w:r>
              <w:rPr>
                <w:rFonts w:hint="eastAsia"/>
                <w:szCs w:val="21"/>
              </w:rPr>
              <w:t>3、食品经营者收到监督抽检不合格检验结论后，无正当理由拒绝、阻挠或干涉调查处理。</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《食品生产经营日常监督检查管理办法》</w:t>
            </w:r>
          </w:p>
          <w:p>
            <w:pPr>
              <w:spacing w:line="280" w:lineRule="exact"/>
              <w:jc w:val="center"/>
              <w:rPr>
                <w:szCs w:val="21"/>
              </w:rPr>
            </w:pPr>
            <w:r>
              <w:rPr>
                <w:rFonts w:hint="eastAsia"/>
                <w:szCs w:val="21"/>
              </w:rPr>
              <w:t>第三十一条  食品生产经营者有下列拒绝、阻挠、干涉食品药品监督管理部门进行监督检查情形之一的，由县级以上食品药品监督管理部门按照食品安全法第一百三十三条第一款的规定进行处理：（一）拒绝、拖延、限制监督检查人员进入被检查场所或者区域的，或者限制检查时间的；（二）拒绝或者限制抽取样品、录像、拍照和复印等调查取证工作的；（三）无正当理由不提供或者延迟提供与检查相关的合同、记录、票据、账簿、电子数据等材料的；（四）声称主要负责人、主管人员或者相关工作人员不在岗，或者故意以停止生产经营等方式欺骗、误导、逃避检查的；（五）以暴力、威胁等方法阻碍监督检查人员依法履行职责的；（六）隐藏、转移、变卖、损毁监督检查人员依法查封、扣押的财物的；（七）伪造、隐匿、毁灭证据或者提供虚假证言的；（八）其他妨碍监督检查人员履行职责的。</w:t>
            </w:r>
          </w:p>
          <w:p>
            <w:pPr>
              <w:spacing w:line="280" w:lineRule="exact"/>
              <w:jc w:val="center"/>
              <w:rPr>
                <w:szCs w:val="21"/>
              </w:rPr>
            </w:pPr>
            <w:r>
              <w:rPr>
                <w:rFonts w:hint="eastAsia"/>
                <w:szCs w:val="21"/>
              </w:rPr>
              <w:t>《食品安全抽样检验管理办法》</w:t>
            </w:r>
          </w:p>
          <w:p>
            <w:pPr>
              <w:spacing w:line="280" w:lineRule="exact"/>
              <w:jc w:val="center"/>
              <w:rPr>
                <w:szCs w:val="21"/>
              </w:rPr>
            </w:pPr>
            <w:r>
              <w:rPr>
                <w:rFonts w:hint="eastAsia"/>
                <w:szCs w:val="21"/>
              </w:rPr>
              <w:t>第四条第二款  食品生产经营者是食品安全第一责任人，应当依法配合市场监督管理部门组织实施的食品安全抽样检验工作。</w:t>
            </w:r>
          </w:p>
          <w:p>
            <w:pPr>
              <w:spacing w:line="280" w:lineRule="exact"/>
              <w:jc w:val="center"/>
              <w:rPr>
                <w:szCs w:val="21"/>
              </w:rPr>
            </w:pPr>
            <w:r>
              <w:rPr>
                <w:rFonts w:hint="eastAsia"/>
                <w:szCs w:val="21"/>
              </w:rPr>
              <w:t>第四十条第一款食品生产经营者收到监督抽检不合格检验结论后，应当立即采取封存不合格食品，暂停生产、经营不合格食品，通知相关生产经营者和消费者，召回已上市销售的不合格食品等风险控制措施，排查不合格原因并进行整改，及时向住所地市场监督管理部门报告处理情况，积极配合市场监督管理部门的调查处理，不得拒绝、逃避。</w:t>
            </w:r>
          </w:p>
          <w:p>
            <w:pPr>
              <w:spacing w:line="280" w:lineRule="exact"/>
              <w:jc w:val="center"/>
              <w:rPr>
                <w:szCs w:val="21"/>
              </w:rPr>
            </w:pPr>
            <w:r>
              <w:rPr>
                <w:rFonts w:hint="eastAsia"/>
                <w:szCs w:val="21"/>
              </w:rPr>
              <w:t>第四十七条第一款  食品生产经营者违反本办法的规定，无正当理由拒绝、阻挠或者干涉食品安全抽样检验、风险监测和调查处理的，由县级以上人民政府市场监督管理部门依照食品安全法第一百三十三条第一款的规定处罚；违反治安管理处罚法有关规定的，由市场监督管理部门依法移交公安机关处理。</w:t>
            </w:r>
          </w:p>
          <w:p>
            <w:pPr>
              <w:spacing w:line="280" w:lineRule="exact"/>
              <w:jc w:val="center"/>
              <w:rPr>
                <w:szCs w:val="21"/>
              </w:rPr>
            </w:pPr>
          </w:p>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一百三十三条第一款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w:t>
            </w:r>
          </w:p>
          <w:p>
            <w:pPr>
              <w:spacing w:line="280" w:lineRule="exact"/>
              <w:jc w:val="center"/>
              <w:rPr>
                <w:szCs w:val="21"/>
              </w:rPr>
            </w:pP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配合市场监管部门开展日常监督检查，保障监督检查人员依法履行职责。应当按照市场监管部门的要求，开放食品经营场所，回答相关询问，提供相关合同、票据、账簿和其他有关资料，协助现场检查和抽样检验。</w:t>
            </w:r>
          </w:p>
          <w:p>
            <w:pPr>
              <w:spacing w:line="280" w:lineRule="exact"/>
              <w:jc w:val="center"/>
              <w:rPr>
                <w:szCs w:val="21"/>
              </w:rPr>
            </w:pPr>
            <w:r>
              <w:rPr>
                <w:rFonts w:hint="eastAsia"/>
                <w:szCs w:val="21"/>
              </w:rPr>
              <w:t>2、应当按照监督检查人员要求，在现场检查、询问和抽样检验等文书上签字或者盖*早。</w:t>
            </w:r>
          </w:p>
          <w:p>
            <w:pPr>
              <w:spacing w:line="280" w:lineRule="exact"/>
              <w:jc w:val="center"/>
              <w:rPr>
                <w:szCs w:val="21"/>
              </w:rPr>
            </w:pPr>
            <w:r>
              <w:rPr>
                <w:rFonts w:hint="eastAsia"/>
                <w:szCs w:val="21"/>
              </w:rPr>
              <w:t>3、食品经营过程中存在食品安全隐患，未及时采取措施消除的，市场监管部门需要对经营者法定代表人或主要负责人进行责任约谈的，应当予以配合，并立即采取措施，进行整改，消除隐患。</w:t>
            </w:r>
          </w:p>
          <w:p>
            <w:pPr>
              <w:spacing w:line="280" w:lineRule="exact"/>
              <w:jc w:val="center"/>
              <w:rPr>
                <w:szCs w:val="21"/>
              </w:rPr>
            </w:pPr>
            <w:r>
              <w:rPr>
                <w:rFonts w:hint="eastAsia"/>
                <w:szCs w:val="21"/>
              </w:rPr>
              <w:t>4、市场监管部门发现可能误导消费者和社会舆论的食品安全信息，需要组织食品经营者进行核实、分析的，应当予以配合。</w:t>
            </w:r>
          </w:p>
          <w:p>
            <w:pPr>
              <w:spacing w:line="280" w:lineRule="exact"/>
              <w:jc w:val="center"/>
              <w:rPr>
                <w:szCs w:val="21"/>
              </w:rPr>
            </w:pPr>
            <w:r>
              <w:rPr>
                <w:rFonts w:hint="eastAsia"/>
                <w:szCs w:val="21"/>
              </w:rPr>
              <w:t>5、发生食品安全事故的，食品安全事故调查部门有权向有关单位和个人了解与事故有关的情况，并要求提供相关资料和样品。有关单位和个人应当予以配合，按照要求提供相关资料和样品，不得拒绝。任何单位和个人不得阻挠、干涉食品安全事故的调查处理。</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p>
            <w:pPr>
              <w:spacing w:line="280" w:lineRule="exact"/>
              <w:jc w:val="center"/>
              <w:rPr>
                <w:szCs w:val="21"/>
              </w:rPr>
            </w:pP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26</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网络食品交易第三方平台提供者责任</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网络食品交易第三方平台提供者未对入网食品经营者进行实名登记、审查许可证。</w:t>
            </w:r>
          </w:p>
          <w:p>
            <w:pPr>
              <w:spacing w:line="280" w:lineRule="exact"/>
              <w:jc w:val="center"/>
              <w:rPr>
                <w:szCs w:val="21"/>
              </w:rPr>
            </w:pPr>
            <w:r>
              <w:rPr>
                <w:rFonts w:hint="eastAsia"/>
                <w:szCs w:val="21"/>
              </w:rPr>
              <w:t>网络食品交易第三方平台提供者未对入网食品生产者的相关材料及信息进行审查登记、如实记录并更新</w:t>
            </w:r>
          </w:p>
          <w:p>
            <w:pPr>
              <w:spacing w:line="280" w:lineRule="exact"/>
              <w:jc w:val="center"/>
              <w:rPr>
                <w:szCs w:val="21"/>
              </w:rPr>
            </w:pPr>
            <w:r>
              <w:rPr>
                <w:rFonts w:hint="eastAsia"/>
                <w:szCs w:val="21"/>
              </w:rPr>
              <w:t>网络食品交易第三方平台提供者发现入网食品经营者有违反《食品安全法》规定行为，未及时制止并立即报告所在地县级市场监管部门</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《中华人民共和国食品安全法》</w:t>
            </w:r>
          </w:p>
          <w:p>
            <w:pPr>
              <w:spacing w:line="280" w:lineRule="exact"/>
              <w:jc w:val="center"/>
              <w:rPr>
                <w:szCs w:val="21"/>
              </w:rPr>
            </w:pPr>
            <w:r>
              <w:rPr>
                <w:rFonts w:hint="eastAsia"/>
                <w:szCs w:val="21"/>
              </w:rPr>
              <w:t>第六十二条  网络食品交易第三方平台提供者应当对入网食品经营者进行实名登记，明确其食品安全管理责任；依法应当取得许可证的，还应当审查其许可证。</w:t>
            </w:r>
          </w:p>
          <w:p>
            <w:pPr>
              <w:spacing w:line="280" w:lineRule="exact"/>
              <w:jc w:val="center"/>
              <w:rPr>
                <w:szCs w:val="21"/>
              </w:rPr>
            </w:pPr>
            <w:r>
              <w:rPr>
                <w:rFonts w:hint="eastAsia"/>
                <w:szCs w:val="21"/>
              </w:rPr>
              <w:t>网络食品交易第三方平台提供者发现入网食品经营者有违反本法规定行为的，应当及时制止并立即报告所在地县级人民政府食品安全监督管理部门；发现严重违法行为的，应当立即停止提供网络交易平台服务。</w:t>
            </w:r>
          </w:p>
          <w:p>
            <w:pPr>
              <w:spacing w:line="280" w:lineRule="exact"/>
              <w:jc w:val="center"/>
              <w:rPr>
                <w:szCs w:val="21"/>
              </w:rPr>
            </w:pPr>
            <w:r>
              <w:rPr>
                <w:rFonts w:hint="eastAsia"/>
                <w:szCs w:val="21"/>
              </w:rPr>
              <w:t>第一百三十一条   违反本法规定，网络食品交易第三方平台提供者未对入网食品经营者进行实名登记、审查许可证，或者未履行报告、停止提供网络交易平台服务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p>
            <w:pPr>
              <w:spacing w:line="280" w:lineRule="exact"/>
              <w:jc w:val="center"/>
              <w:rPr>
                <w:szCs w:val="21"/>
              </w:rPr>
            </w:pPr>
            <w:r>
              <w:rPr>
                <w:rFonts w:hint="eastAsia"/>
                <w:szCs w:val="21"/>
              </w:rPr>
              <w:t>消费者通过网络食品交易第三方平台购买食品，其合法权益受到损害的，可以向入网食品经营者或者食品生产者要求赔偿。网络食品交易第三方平台提供者不能提供入网食品经营者的真实名称、地址和有效联系方式的，由网络食品交易第三方平台提供者赔偿。网络食品交易第三方平台提供者赔偿后，有权向入网食品经营者或者食品生产者追偿。网络食品交易第三方平台提供者作出更有利于消费者承诺的，应当履行其承诺。</w:t>
            </w:r>
          </w:p>
          <w:p>
            <w:pPr>
              <w:spacing w:line="280" w:lineRule="exact"/>
              <w:jc w:val="center"/>
              <w:rPr>
                <w:szCs w:val="21"/>
              </w:rPr>
            </w:pPr>
            <w:r>
              <w:rPr>
                <w:rFonts w:hint="eastAsia"/>
                <w:szCs w:val="21"/>
              </w:rPr>
              <w:t>《网络食品安全违法行为查处办法》</w:t>
            </w:r>
          </w:p>
          <w:p>
            <w:pPr>
              <w:spacing w:line="280" w:lineRule="exact"/>
              <w:jc w:val="center"/>
              <w:rPr>
                <w:szCs w:val="21"/>
              </w:rPr>
            </w:pPr>
            <w:r>
              <w:rPr>
                <w:rFonts w:hint="eastAsia"/>
                <w:szCs w:val="21"/>
              </w:rPr>
              <w:t>第十一条  网络食品交易第三方平台提供者应当对入网食品生产经营者食品生产经营许可证、入网食品添加剂生产企业生产许可证等材料进行审查，如实记录并及时更新。</w:t>
            </w:r>
          </w:p>
          <w:p>
            <w:pPr>
              <w:spacing w:line="280" w:lineRule="exact"/>
              <w:jc w:val="center"/>
              <w:rPr>
                <w:szCs w:val="21"/>
              </w:rPr>
            </w:pPr>
            <w:r>
              <w:rPr>
                <w:rFonts w:hint="eastAsia"/>
                <w:szCs w:val="21"/>
              </w:rPr>
              <w:t>第三十二条  违反本办法第十一条规定，网络食品交易第三方平台提供者未对入网食品生产经营者的相关材料及信息进行审查登记、如实记录并更新的，由县级以上地方市场监督管理部门依照食品安全法第一百三十一条的规定处罚。</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第三方平台提供者应当：</w:t>
            </w:r>
          </w:p>
          <w:p>
            <w:pPr>
              <w:spacing w:line="280" w:lineRule="exact"/>
              <w:jc w:val="center"/>
              <w:rPr>
                <w:szCs w:val="21"/>
              </w:rPr>
            </w:pPr>
            <w:r>
              <w:rPr>
                <w:rFonts w:hint="eastAsia"/>
                <w:szCs w:val="21"/>
              </w:rPr>
              <w:t>建立入网食品经营者主体资质审查及其经营活动检查、交易管理规则、投诉举报处理、消费者赔偿等食品安全管理制度，并在平台上公开上述制度。</w:t>
            </w:r>
          </w:p>
          <w:p>
            <w:pPr>
              <w:spacing w:line="280" w:lineRule="exact"/>
              <w:jc w:val="center"/>
              <w:rPr>
                <w:szCs w:val="21"/>
              </w:rPr>
            </w:pPr>
            <w:r>
              <w:rPr>
                <w:rFonts w:hint="eastAsia"/>
                <w:szCs w:val="21"/>
              </w:rPr>
              <w:t>严格实施入网食品经营者实名登记、资质审查并进行现场核实，及时在网站更新食品经营许可证等资质证明材料；与入网食品经营者签订入网合同，明确其应遵守的食品安全责任。</w:t>
            </w:r>
          </w:p>
          <w:p>
            <w:pPr>
              <w:spacing w:line="280" w:lineRule="exact"/>
              <w:jc w:val="center"/>
              <w:rPr>
                <w:szCs w:val="21"/>
              </w:rPr>
            </w:pPr>
            <w:r>
              <w:rPr>
                <w:rFonts w:hint="eastAsia"/>
                <w:szCs w:val="21"/>
              </w:rPr>
              <w:t>按照监督管理部门的要求，提供入网食品经营者的有关信息。</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27</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入网经营者应当依法取得许可</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入网食品经营者超过许可的经营项目范围从事食品经营</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《网络食品安全违法行为查处办法》</w:t>
            </w:r>
          </w:p>
          <w:p>
            <w:pPr>
              <w:spacing w:line="280" w:lineRule="exact"/>
              <w:jc w:val="center"/>
              <w:rPr>
                <w:szCs w:val="21"/>
              </w:rPr>
            </w:pPr>
            <w:r>
              <w:rPr>
                <w:rFonts w:hint="eastAsia"/>
                <w:szCs w:val="21"/>
              </w:rPr>
              <w:t>第十六条第一款  入网食品生产经营者应当依法取得许可，入网食品生产者应当按照许可的类别范围销售食品，入网食品经营者应当按照许可的经营项目范围从事食品经营。法律、法规规定不需要取得食品生产经营许可的除外。</w:t>
            </w:r>
          </w:p>
          <w:p>
            <w:pPr>
              <w:spacing w:line="280" w:lineRule="exact"/>
              <w:jc w:val="center"/>
              <w:rPr>
                <w:szCs w:val="21"/>
              </w:rPr>
            </w:pPr>
            <w:r>
              <w:rPr>
                <w:rFonts w:hint="eastAsia"/>
                <w:szCs w:val="21"/>
              </w:rPr>
              <w:t>第三十八条  违反本办法第十六条规定，入网食品生产经营者未依法取得食品生产经营许可的，或者入网食品生产者超过许可的类别范围销售食品、入网食品经营者超过许可的经营项目范围从事食品经营的，依照食品安全法第一百二十二条的规定处罚。</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入网食品经营者应当具依法取得食品经营许可证，并按照食品经营许可证载明的主体业态、经营项目从事经营活动，不得超范围经营。</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p>
            <w:pPr>
              <w:spacing w:line="280" w:lineRule="exact"/>
              <w:jc w:val="center"/>
              <w:rPr>
                <w:szCs w:val="21"/>
              </w:rPr>
            </w:pP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28</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网络经营食品送餐者应尽义务</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送餐人员未履行使用安全、无害的配送容器等义务</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《网络餐饮服务食品安全监督管理办法》</w:t>
            </w:r>
          </w:p>
          <w:p>
            <w:pPr>
              <w:spacing w:line="280" w:lineRule="exact"/>
              <w:jc w:val="center"/>
              <w:rPr>
                <w:szCs w:val="21"/>
              </w:rPr>
            </w:pPr>
            <w:r>
              <w:rPr>
                <w:rFonts w:hint="eastAsia"/>
                <w:szCs w:val="21"/>
              </w:rPr>
              <w:t>第十四条  送餐人员应当保持个人卫生，使用安全、无害的配送容器，保持容器清洁，并定期进行清洗消毒。送餐人员应当核对配送食品，保证配送过程食品不受污染。</w:t>
            </w:r>
          </w:p>
          <w:p>
            <w:pPr>
              <w:spacing w:line="280" w:lineRule="exact"/>
              <w:jc w:val="center"/>
              <w:rPr>
                <w:szCs w:val="21"/>
              </w:rPr>
            </w:pPr>
            <w:r>
              <w:rPr>
                <w:rFonts w:hint="eastAsia"/>
                <w:szCs w:val="21"/>
              </w:rPr>
              <w:t>第三十五条  违反本办法第十四条规定，送餐人员未履行使用安全、无害的配送容器等义务的，由县级以上地方食品药品监督管理部门对送餐人员所在单位按照食品安全法第一百三十二条的规定处罚。</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从事送餐活动的第三方平台、餐饮服务单位和第三方物流应制定送餐管理制度，加强对送餐人员规范操作的培训和检查，确保送餐过程符合食品安全要求。</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梁溪区市场监督管理局食品经营安全监督管理科0510-82717691</w:t>
            </w:r>
          </w:p>
        </w:tc>
      </w:tr>
    </w:tbl>
    <w:p>
      <w:pPr>
        <w:widowControl/>
        <w:spacing w:line="300" w:lineRule="exact"/>
        <w:rPr>
          <w:rFonts w:eastAsia="方正楷体_GBK"/>
          <w:szCs w:val="21"/>
        </w:rPr>
      </w:pPr>
      <w:r>
        <w:rPr>
          <w:rFonts w:hint="eastAsia" w:eastAsia="方正楷体_GBK"/>
          <w:szCs w:val="21"/>
        </w:rPr>
        <w:t>备注：1.合规清单适用对象：在梁溪区区域内从事食品销售、餐饮服务的自然、法人或其他组织。</w:t>
      </w:r>
    </w:p>
    <w:p>
      <w:pPr>
        <w:widowControl/>
        <w:spacing w:line="300" w:lineRule="exact"/>
        <w:ind w:firstLine="630" w:firstLineChars="300"/>
        <w:rPr>
          <w:rFonts w:eastAsia="方正楷体_GBK"/>
          <w:szCs w:val="21"/>
        </w:rPr>
      </w:pPr>
      <w:r>
        <w:rPr>
          <w:rFonts w:hint="eastAsia" w:eastAsia="方正楷体_GBK"/>
          <w:szCs w:val="21"/>
        </w:rPr>
        <w:t>2.该清单并未涵盖所有食品销售、餐饮服务环节的违法行为。</w:t>
      </w:r>
    </w:p>
    <w:p>
      <w:pPr>
        <w:widowControl/>
        <w:spacing w:line="300" w:lineRule="exact"/>
        <w:ind w:firstLine="630" w:firstLineChars="300"/>
        <w:rPr>
          <w:rFonts w:eastAsia="方正楷体_GBK"/>
          <w:szCs w:val="21"/>
        </w:rPr>
      </w:pPr>
      <w:r>
        <w:rPr>
          <w:rFonts w:hint="eastAsia" w:eastAsia="方正楷体_GBK"/>
          <w:szCs w:val="21"/>
        </w:rPr>
        <w:t>3.发生频率较高或危害后果较严重破的为★★★,发生频率和危害后果一般的为★★，发生频率较少或危害后果较轻的为★.</w:t>
      </w:r>
    </w:p>
    <w:p>
      <w:pPr>
        <w:ind w:firstLine="630" w:firstLineChars="300"/>
        <w:rPr>
          <w:rFonts w:eastAsia="方正楷体_GBK"/>
          <w:szCs w:val="21"/>
        </w:rPr>
      </w:pPr>
    </w:p>
    <w:p>
      <w:pPr>
        <w:ind w:firstLine="630" w:firstLineChars="300"/>
        <w:rPr>
          <w:rFonts w:eastAsia="方正楷体_GBK"/>
          <w:szCs w:val="21"/>
        </w:rPr>
      </w:pPr>
    </w:p>
    <w:p>
      <w:pPr>
        <w:ind w:firstLine="630" w:firstLineChars="300"/>
        <w:rPr>
          <w:rFonts w:eastAsia="方正楷体_GBK"/>
          <w:szCs w:val="21"/>
        </w:rPr>
      </w:pPr>
    </w:p>
    <w:p>
      <w:pPr>
        <w:ind w:firstLine="630" w:firstLineChars="300"/>
        <w:rPr>
          <w:rFonts w:eastAsia="方正楷体_GBK"/>
          <w:szCs w:val="21"/>
        </w:rPr>
      </w:pPr>
    </w:p>
    <w:p>
      <w:pPr>
        <w:ind w:firstLine="630" w:firstLineChars="300"/>
        <w:rPr>
          <w:rFonts w:eastAsia="方正楷体_GBK"/>
          <w:szCs w:val="21"/>
        </w:rPr>
      </w:pPr>
    </w:p>
    <w:p>
      <w:pPr>
        <w:rPr>
          <w:rFonts w:eastAsia="方正楷体_GBK"/>
          <w:szCs w:val="21"/>
        </w:rPr>
      </w:pPr>
    </w:p>
    <w:p>
      <w:pPr>
        <w:rPr>
          <w:rFonts w:eastAsia="方正楷体_GBK"/>
          <w:szCs w:val="21"/>
        </w:rPr>
      </w:pPr>
    </w:p>
    <w:p>
      <w:pPr>
        <w:rPr>
          <w:rFonts w:eastAsia="方正楷体_GBK"/>
          <w:szCs w:val="21"/>
        </w:rPr>
      </w:pPr>
    </w:p>
    <w:p>
      <w:pPr>
        <w:rPr>
          <w:rFonts w:eastAsia="方正楷体_GBK"/>
          <w:szCs w:val="21"/>
        </w:rPr>
      </w:pPr>
      <w:r>
        <w:rPr>
          <w:rFonts w:hint="eastAsia" w:eastAsia="方正楷体_GBK"/>
          <w:szCs w:val="21"/>
        </w:rPr>
        <w:t>特种设备安全监督管理部分:</w:t>
      </w:r>
    </w:p>
    <w:tbl>
      <w:tblPr>
        <w:tblStyle w:val="6"/>
        <w:tblW w:w="14740" w:type="dxa"/>
        <w:jc w:val="center"/>
        <w:tblLayout w:type="autofit"/>
        <w:tblCellMar>
          <w:top w:w="0" w:type="dxa"/>
          <w:left w:w="108" w:type="dxa"/>
          <w:bottom w:w="0" w:type="dxa"/>
          <w:right w:w="108" w:type="dxa"/>
        </w:tblCellMar>
      </w:tblPr>
      <w:tblGrid>
        <w:gridCol w:w="876"/>
        <w:gridCol w:w="1773"/>
        <w:gridCol w:w="2300"/>
        <w:gridCol w:w="4337"/>
        <w:gridCol w:w="920"/>
        <w:gridCol w:w="2957"/>
        <w:gridCol w:w="1577"/>
      </w:tblGrid>
      <w:tr>
        <w:tblPrEx>
          <w:tblCellMar>
            <w:top w:w="0" w:type="dxa"/>
            <w:left w:w="108" w:type="dxa"/>
            <w:bottom w:w="0" w:type="dxa"/>
            <w:right w:w="108" w:type="dxa"/>
          </w:tblCellMar>
        </w:tblPrEx>
        <w:trPr>
          <w:trHeight w:val="763" w:hRule="atLeast"/>
          <w:tblHeader/>
          <w:jc w:val="center"/>
        </w:trPr>
        <w:tc>
          <w:tcPr>
            <w:tcW w:w="876"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序号</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行政合规</w:t>
            </w:r>
          </w:p>
          <w:p>
            <w:pPr>
              <w:spacing w:line="280" w:lineRule="exact"/>
              <w:jc w:val="center"/>
              <w:rPr>
                <w:szCs w:val="21"/>
              </w:rPr>
            </w:pPr>
            <w:r>
              <w:rPr>
                <w:rFonts w:hint="eastAsia"/>
                <w:szCs w:val="21"/>
              </w:rPr>
              <w:t>事项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常见违法行为表现</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法律依据及违法责任</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风险等级</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合规建议</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指导部门（科室）</w:t>
            </w:r>
          </w:p>
        </w:tc>
      </w:tr>
      <w:tr>
        <w:tblPrEx>
          <w:tblCellMar>
            <w:top w:w="0" w:type="dxa"/>
            <w:left w:w="108" w:type="dxa"/>
            <w:bottom w:w="0" w:type="dxa"/>
            <w:right w:w="108" w:type="dxa"/>
          </w:tblCellMar>
        </w:tblPrEx>
        <w:trPr>
          <w:trHeight w:val="23"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应当使用经检验合格的特种设备。</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使用未经检验或者检验不合格的特种设备</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《中华人民共和国特种设备安全法》</w:t>
            </w:r>
          </w:p>
          <w:p>
            <w:pPr>
              <w:spacing w:line="280" w:lineRule="exact"/>
              <w:jc w:val="center"/>
              <w:rPr>
                <w:szCs w:val="21"/>
              </w:rPr>
            </w:pPr>
            <w:r>
              <w:rPr>
                <w:rFonts w:hint="eastAsia"/>
                <w:szCs w:val="21"/>
              </w:rPr>
              <w:t>第三十二条  特种设备使用单位应当使用取得许可生产并经检验合格的特种设备。</w:t>
            </w:r>
          </w:p>
          <w:p>
            <w:pPr>
              <w:spacing w:line="280" w:lineRule="exact"/>
              <w:jc w:val="center"/>
              <w:rPr>
                <w:szCs w:val="21"/>
              </w:rPr>
            </w:pPr>
            <w:r>
              <w:rPr>
                <w:rFonts w:hint="eastAsia"/>
                <w:szCs w:val="21"/>
              </w:rPr>
              <w:t>禁止使用国家明令淘汰和已经报废的特种设备。</w:t>
            </w:r>
          </w:p>
          <w:p>
            <w:pPr>
              <w:spacing w:line="280" w:lineRule="exact"/>
              <w:jc w:val="center"/>
              <w:rPr>
                <w:szCs w:val="21"/>
              </w:rPr>
            </w:pPr>
          </w:p>
          <w:p>
            <w:pPr>
              <w:spacing w:line="280" w:lineRule="exact"/>
              <w:jc w:val="center"/>
              <w:rPr>
                <w:szCs w:val="21"/>
              </w:rPr>
            </w:pPr>
            <w:r>
              <w:rPr>
                <w:rFonts w:hint="eastAsia"/>
                <w:szCs w:val="21"/>
              </w:rPr>
              <w:t>第八十四条  违反本法规定，特种设备使用单位有下列行为之一的，责令停止使用有关特种设备，处三万元以上三十万元以下罚款：</w:t>
            </w:r>
            <w:r>
              <w:fldChar w:fldCharType="begin"/>
            </w:r>
            <w:r>
              <w:instrText xml:space="preserve"> HYPERLINK "javascript:void(0);" </w:instrText>
            </w:r>
            <w:r>
              <w:fldChar w:fldCharType="separate"/>
            </w:r>
            <w:r>
              <w:fldChar w:fldCharType="end"/>
            </w:r>
          </w:p>
          <w:p>
            <w:pPr>
              <w:spacing w:line="280" w:lineRule="exact"/>
              <w:jc w:val="center"/>
              <w:rPr>
                <w:szCs w:val="21"/>
              </w:rPr>
            </w:pPr>
            <w:r>
              <w:rPr>
                <w:rFonts w:hint="eastAsia"/>
                <w:szCs w:val="21"/>
              </w:rPr>
              <w:t>　　（一）使用未取得许可生产，未经检验或者检验不合格的特种设备，或者国家明令淘汰、已经报废的特种设备的；</w:t>
            </w:r>
            <w:r>
              <w:fldChar w:fldCharType="begin"/>
            </w:r>
            <w:r>
              <w:instrText xml:space="preserve"> HYPERLINK "javascript:void(0);" </w:instrText>
            </w:r>
            <w:r>
              <w:fldChar w:fldCharType="separate"/>
            </w:r>
            <w:r>
              <w:fldChar w:fldCharType="end"/>
            </w:r>
          </w:p>
          <w:p>
            <w:pPr>
              <w:spacing w:line="280" w:lineRule="exact"/>
              <w:jc w:val="center"/>
              <w:rPr>
                <w:szCs w:val="21"/>
              </w:rPr>
            </w:pPr>
            <w:r>
              <w:rPr>
                <w:rFonts w:hint="eastAsia"/>
                <w:szCs w:val="21"/>
              </w:rPr>
              <w:t>　　（二）特种设备出现故障或者发生异常情况，未对其进行全面检查、消除事故隐患，继续使用的；</w:t>
            </w:r>
            <w:r>
              <w:fldChar w:fldCharType="begin"/>
            </w:r>
            <w:r>
              <w:instrText xml:space="preserve"> HYPERLINK "javascript:void(0);" </w:instrText>
            </w:r>
            <w:r>
              <w:fldChar w:fldCharType="separate"/>
            </w:r>
            <w:r>
              <w:fldChar w:fldCharType="end"/>
            </w:r>
          </w:p>
          <w:p>
            <w:pPr>
              <w:spacing w:line="280" w:lineRule="exact"/>
              <w:jc w:val="center"/>
              <w:rPr>
                <w:szCs w:val="21"/>
              </w:rPr>
            </w:pPr>
            <w:r>
              <w:rPr>
                <w:rFonts w:hint="eastAsia"/>
                <w:szCs w:val="21"/>
              </w:rPr>
              <w:t>　　（三）特种设备存在严重事故隐患，无改造、修理价值，或者达到安全技术规范规定的其他报废条件，未依法履行报废义务，并办理使用登记证书注销手续的。</w:t>
            </w:r>
            <w:r>
              <w:fldChar w:fldCharType="begin"/>
            </w:r>
            <w:r>
              <w:instrText xml:space="preserve"> HYPERLINK "javascript:void(0);" </w:instrText>
            </w:r>
            <w:r>
              <w:fldChar w:fldCharType="separate"/>
            </w:r>
            <w:r>
              <w:fldChar w:fldCharType="end"/>
            </w:r>
          </w:p>
          <w:p>
            <w:pPr>
              <w:spacing w:line="280" w:lineRule="exact"/>
              <w:jc w:val="center"/>
              <w:rPr>
                <w:szCs w:val="21"/>
              </w:rPr>
            </w:pP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使用前主动向检验机构申请特种设备检验</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梁溪区市场监督管理局特种设备安全监察科  0510-8273 6782</w:t>
            </w:r>
          </w:p>
        </w:tc>
      </w:tr>
    </w:tbl>
    <w:p>
      <w:pPr>
        <w:widowControl/>
        <w:spacing w:line="300" w:lineRule="exact"/>
        <w:rPr>
          <w:rFonts w:eastAsia="方正楷体_GBK"/>
          <w:szCs w:val="21"/>
        </w:rPr>
      </w:pPr>
      <w:r>
        <w:rPr>
          <w:rFonts w:hint="eastAsia" w:eastAsia="方正楷体_GBK"/>
          <w:szCs w:val="21"/>
        </w:rPr>
        <w:t>备注：1.合规清单适用对象：在梁溪区区域内从事特种设备生产、经营、使用、维护保养、检验检测单位。</w:t>
      </w:r>
    </w:p>
    <w:p>
      <w:pPr>
        <w:widowControl/>
        <w:spacing w:line="300" w:lineRule="exact"/>
        <w:ind w:firstLine="630" w:firstLineChars="300"/>
        <w:rPr>
          <w:rFonts w:eastAsia="方正楷体_GBK"/>
          <w:szCs w:val="21"/>
        </w:rPr>
      </w:pPr>
      <w:r>
        <w:rPr>
          <w:rFonts w:hint="eastAsia" w:eastAsia="方正楷体_GBK"/>
          <w:szCs w:val="21"/>
        </w:rPr>
        <w:t>2.该清单并未涵盖所有特种设备生产、经营、使用、维护保养、检验检测等特种设备安全违法行为。</w:t>
      </w:r>
    </w:p>
    <w:p>
      <w:pPr>
        <w:widowControl/>
        <w:spacing w:line="300" w:lineRule="exact"/>
        <w:ind w:firstLine="630" w:firstLineChars="300"/>
        <w:rPr>
          <w:rFonts w:hint="eastAsia" w:eastAsia="方正楷体_GBK"/>
          <w:szCs w:val="21"/>
        </w:rPr>
      </w:pPr>
      <w:r>
        <w:rPr>
          <w:rFonts w:hint="eastAsia" w:eastAsia="方正楷体_GBK"/>
          <w:szCs w:val="21"/>
        </w:rPr>
        <w:t>3.发生频率较高或危害后果较严重破的为★★★,发生频率和危害后果一般的为★★，发生频率较少或危害后果较轻的为★</w:t>
      </w:r>
    </w:p>
    <w:p>
      <w:pPr>
        <w:widowControl/>
        <w:spacing w:line="300" w:lineRule="exact"/>
        <w:ind w:firstLine="630" w:firstLineChars="300"/>
        <w:rPr>
          <w:rFonts w:hint="eastAsia" w:eastAsia="方正楷体_GBK"/>
          <w:szCs w:val="21"/>
        </w:rPr>
      </w:pPr>
    </w:p>
    <w:p>
      <w:pPr>
        <w:widowControl/>
        <w:spacing w:line="300" w:lineRule="exact"/>
        <w:ind w:firstLine="630" w:firstLineChars="300"/>
        <w:rPr>
          <w:rFonts w:eastAsia="方正楷体_GBK"/>
          <w:szCs w:val="21"/>
        </w:rPr>
      </w:pPr>
      <w:r>
        <w:rPr>
          <w:rFonts w:hint="eastAsia" w:eastAsia="方正楷体_GBK"/>
          <w:szCs w:val="21"/>
        </w:rPr>
        <w:t>.</w:t>
      </w:r>
    </w:p>
    <w:p>
      <w:pPr>
        <w:rPr>
          <w:rFonts w:eastAsia="方正楷体_GBK"/>
          <w:szCs w:val="21"/>
        </w:rPr>
      </w:pPr>
      <w:r>
        <w:rPr>
          <w:rFonts w:hint="eastAsia" w:eastAsia="方正楷体_GBK"/>
          <w:szCs w:val="21"/>
        </w:rPr>
        <w:t>知识产权部分:</w:t>
      </w:r>
    </w:p>
    <w:tbl>
      <w:tblPr>
        <w:tblStyle w:val="6"/>
        <w:tblW w:w="14740" w:type="dxa"/>
        <w:jc w:val="center"/>
        <w:tblLayout w:type="autofit"/>
        <w:tblCellMar>
          <w:top w:w="0" w:type="dxa"/>
          <w:left w:w="108" w:type="dxa"/>
          <w:bottom w:w="0" w:type="dxa"/>
          <w:right w:w="108" w:type="dxa"/>
        </w:tblCellMar>
      </w:tblPr>
      <w:tblGrid>
        <w:gridCol w:w="876"/>
        <w:gridCol w:w="1773"/>
        <w:gridCol w:w="2300"/>
        <w:gridCol w:w="4337"/>
        <w:gridCol w:w="920"/>
        <w:gridCol w:w="2957"/>
        <w:gridCol w:w="1577"/>
      </w:tblGrid>
      <w:tr>
        <w:tblPrEx>
          <w:tblCellMar>
            <w:top w:w="0" w:type="dxa"/>
            <w:left w:w="108" w:type="dxa"/>
            <w:bottom w:w="0" w:type="dxa"/>
            <w:right w:w="108" w:type="dxa"/>
          </w:tblCellMar>
        </w:tblPrEx>
        <w:trPr>
          <w:trHeight w:val="763" w:hRule="atLeast"/>
          <w:tblHeader/>
          <w:jc w:val="center"/>
        </w:trPr>
        <w:tc>
          <w:tcPr>
            <w:tcW w:w="876"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序号</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行政合规</w:t>
            </w:r>
          </w:p>
          <w:p>
            <w:pPr>
              <w:spacing w:line="280" w:lineRule="exact"/>
              <w:jc w:val="center"/>
              <w:rPr>
                <w:rFonts w:ascii="方正黑体_GBK" w:hAnsi="黑体" w:eastAsia="方正黑体_GBK"/>
                <w:szCs w:val="21"/>
              </w:rPr>
            </w:pPr>
            <w:r>
              <w:rPr>
                <w:rFonts w:hint="eastAsia" w:ascii="方正黑体_GBK" w:hAnsi="黑体" w:eastAsia="方正黑体_GBK"/>
                <w:szCs w:val="21"/>
              </w:rPr>
              <w:t>事项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常见违法行为表现</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法律依据及违法责任</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风险等级</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合规建议</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指导部门（科室）</w:t>
            </w:r>
          </w:p>
        </w:tc>
      </w:tr>
      <w:tr>
        <w:tblPrEx>
          <w:tblCellMar>
            <w:top w:w="0" w:type="dxa"/>
            <w:left w:w="108" w:type="dxa"/>
            <w:bottom w:w="0" w:type="dxa"/>
            <w:right w:w="108" w:type="dxa"/>
          </w:tblCellMar>
        </w:tblPrEx>
        <w:trPr>
          <w:trHeight w:val="23"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假冒专利</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一）在未被授予专利权的产品或者其包装上标注专利标识，专利权被宣告无效后或者终止后继续在产品或者其包装上标注专利标识，或者未经许可在产品或者产品包装上标注他人的专利号；（二）销售第（一）项所述产品；（三）在产品说明书等材料中将未被授予专利权的技术或者设计称为专利技术或者专利设计，将专利申请称为专利，或者未经许可使用他人的专利号，使公众将所涉及的技术或者设计误认为是专利技术或者专利设计；（四）伪造或者变造专利证书、专利文件或者专利申请文件；（五）其他使公众混淆，将未被授予专利权的技术或者设计误认为是专利技术或者专利设计的行为。（一）制造或者销售标有专利标记的非专利产品；（二）专利权被宣告无效后，继续在制造或者销售的产品上标注专利标记；</w:t>
            </w:r>
          </w:p>
          <w:p>
            <w:pPr>
              <w:spacing w:line="280" w:lineRule="exact"/>
              <w:jc w:val="center"/>
              <w:rPr>
                <w:szCs w:val="21"/>
              </w:rPr>
            </w:pPr>
            <w:r>
              <w:rPr>
                <w:rFonts w:hint="eastAsia"/>
                <w:szCs w:val="21"/>
              </w:rPr>
              <w:t>（三）在广告或者其他宣传材料中将非专利技术称为专利技术；</w:t>
            </w:r>
          </w:p>
          <w:p>
            <w:pPr>
              <w:spacing w:line="280" w:lineRule="exact"/>
              <w:jc w:val="center"/>
              <w:rPr>
                <w:szCs w:val="21"/>
              </w:rPr>
            </w:pPr>
            <w:r>
              <w:rPr>
                <w:rFonts w:hint="eastAsia"/>
                <w:szCs w:val="21"/>
              </w:rPr>
              <w:t>（四）在合同中将非专利技术称为专利技术；</w:t>
            </w:r>
          </w:p>
          <w:p>
            <w:pPr>
              <w:spacing w:line="280" w:lineRule="exact"/>
              <w:jc w:val="center"/>
              <w:rPr>
                <w:szCs w:val="21"/>
              </w:rPr>
            </w:pPr>
            <w:r>
              <w:rPr>
                <w:rFonts w:hint="eastAsia"/>
                <w:szCs w:val="21"/>
              </w:rPr>
              <w:t>（五）伪造或者变造专利证书、专利文件或者专利申请文件。</w:t>
            </w:r>
          </w:p>
          <w:p>
            <w:pPr>
              <w:spacing w:line="280" w:lineRule="exact"/>
              <w:jc w:val="center"/>
              <w:rPr>
                <w:szCs w:val="21"/>
              </w:rPr>
            </w:pP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《中华人民共和国专利法》</w:t>
            </w:r>
          </w:p>
          <w:p>
            <w:pPr>
              <w:spacing w:line="280" w:lineRule="exact"/>
              <w:jc w:val="center"/>
              <w:rPr>
                <w:szCs w:val="21"/>
              </w:rPr>
            </w:pPr>
            <w:r>
              <w:rPr>
                <w:rFonts w:hint="eastAsia"/>
                <w:szCs w:val="21"/>
              </w:rPr>
              <w:t>第六十八条　假冒专利的，除依法承担民事责任外，由负责专利执法的部门责令改正并予公告，没收违法所得，可以处违法所得五倍以下的罚款；没有违法所得或者违法所得在五万元以下的，可以处二十五万元以下的罚款；构成犯罪的，依法追究刑事责任。</w:t>
            </w:r>
            <w:r>
              <w:fldChar w:fldCharType="begin"/>
            </w:r>
            <w:r>
              <w:instrText xml:space="preserve"> HYPERLINK "javascript:void(0);" </w:instrText>
            </w:r>
            <w:r>
              <w:fldChar w:fldCharType="separate"/>
            </w:r>
            <w:r>
              <w:fldChar w:fldCharType="end"/>
            </w:r>
          </w:p>
          <w:p>
            <w:pPr>
              <w:spacing w:line="280" w:lineRule="exact"/>
              <w:jc w:val="center"/>
              <w:rPr>
                <w:szCs w:val="21"/>
              </w:rPr>
            </w:pPr>
            <w:r>
              <w:rPr>
                <w:rFonts w:hint="eastAsia"/>
                <w:szCs w:val="21"/>
              </w:rPr>
              <w:t>第六十九条　负责专利执法的部门根据已经取得的证据，对涉嫌假冒专利行为进行查处时，有权采取下列措施：</w:t>
            </w:r>
            <w:r>
              <w:fldChar w:fldCharType="begin"/>
            </w:r>
            <w:r>
              <w:instrText xml:space="preserve"> HYPERLINK "javascript:void(0);" </w:instrText>
            </w:r>
            <w:r>
              <w:fldChar w:fldCharType="separate"/>
            </w:r>
            <w:r>
              <w:fldChar w:fldCharType="end"/>
            </w:r>
            <w:r>
              <w:rPr>
                <w:rFonts w:hint="eastAsia"/>
                <w:szCs w:val="21"/>
              </w:rPr>
              <w:t>（一）询问有关当事人，调查与涉嫌违法行为有关的情况；</w:t>
            </w:r>
            <w:r>
              <w:fldChar w:fldCharType="begin"/>
            </w:r>
            <w:r>
              <w:instrText xml:space="preserve"> HYPERLINK "javascript:void(0);" </w:instrText>
            </w:r>
            <w:r>
              <w:fldChar w:fldCharType="separate"/>
            </w:r>
            <w:r>
              <w:fldChar w:fldCharType="end"/>
            </w:r>
            <w:r>
              <w:rPr>
                <w:rFonts w:hint="eastAsia"/>
                <w:szCs w:val="21"/>
              </w:rPr>
              <w:t>（二）对当事人涉嫌违法行为的场所实施现场检查；</w:t>
            </w:r>
            <w:r>
              <w:fldChar w:fldCharType="begin"/>
            </w:r>
            <w:r>
              <w:instrText xml:space="preserve"> HYPERLINK "javascript:void(0);" </w:instrText>
            </w:r>
            <w:r>
              <w:fldChar w:fldCharType="separate"/>
            </w:r>
            <w:r>
              <w:fldChar w:fldCharType="end"/>
            </w:r>
            <w:r>
              <w:rPr>
                <w:rFonts w:hint="eastAsia"/>
                <w:szCs w:val="21"/>
              </w:rPr>
              <w:t>（三）查阅、复制与涉嫌违法行为有关的合同、发票、账簿以及其他有关资料；（四）检查与涉嫌违法行为有关的产品；（五）对有证据证明是假冒专利的产品，可以查封或者扣押。</w:t>
            </w:r>
            <w:r>
              <w:fldChar w:fldCharType="begin"/>
            </w:r>
            <w:r>
              <w:instrText xml:space="preserve"> HYPERLINK "javascript:void(0);" </w:instrText>
            </w:r>
            <w:r>
              <w:fldChar w:fldCharType="separate"/>
            </w:r>
            <w:r>
              <w:fldChar w:fldCharType="end"/>
            </w:r>
          </w:p>
          <w:p>
            <w:pPr>
              <w:spacing w:line="280" w:lineRule="exact"/>
              <w:jc w:val="center"/>
              <w:rPr>
                <w:szCs w:val="21"/>
              </w:rPr>
            </w:pPr>
            <w:r>
              <w:rPr>
                <w:rFonts w:hint="eastAsia"/>
                <w:szCs w:val="21"/>
              </w:rPr>
              <w:t>　　管理专利工作的部门应专利权人或者利害关系人的请求处理专利侵权纠纷时，可以采取前款第（一）项、第（二）项、第（四）项所列措施。</w:t>
            </w:r>
            <w:r>
              <w:fldChar w:fldCharType="begin"/>
            </w:r>
            <w:r>
              <w:instrText xml:space="preserve"> HYPERLINK "javascript:void(0);" </w:instrText>
            </w:r>
            <w:r>
              <w:fldChar w:fldCharType="separate"/>
            </w:r>
            <w:r>
              <w:fldChar w:fldCharType="end"/>
            </w:r>
          </w:p>
          <w:p>
            <w:pPr>
              <w:spacing w:line="280" w:lineRule="exact"/>
              <w:jc w:val="center"/>
              <w:rPr>
                <w:szCs w:val="21"/>
              </w:rPr>
            </w:pPr>
            <w:r>
              <w:rPr>
                <w:rFonts w:hint="eastAsia"/>
                <w:szCs w:val="21"/>
              </w:rPr>
              <w:t>　　负责专利执法的部门、管理专利工作的部门依法行使前两款规定的职权时，当事人应当予以协助、配合，不得拒绝、阻挠。</w:t>
            </w:r>
          </w:p>
          <w:p>
            <w:pPr>
              <w:spacing w:line="280" w:lineRule="exact"/>
              <w:jc w:val="center"/>
              <w:rPr>
                <w:szCs w:val="21"/>
              </w:rPr>
            </w:pP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依法规范使用专利。</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梁溪区市场监督管理局知识产权科0510-82698062</w:t>
            </w:r>
          </w:p>
          <w:p>
            <w:pPr>
              <w:spacing w:line="280" w:lineRule="exact"/>
              <w:jc w:val="center"/>
              <w:rPr>
                <w:szCs w:val="21"/>
              </w:rPr>
            </w:pPr>
          </w:p>
        </w:tc>
      </w:tr>
      <w:tr>
        <w:tblPrEx>
          <w:tblCellMar>
            <w:top w:w="0" w:type="dxa"/>
            <w:left w:w="108" w:type="dxa"/>
            <w:bottom w:w="0" w:type="dxa"/>
            <w:right w:w="108" w:type="dxa"/>
          </w:tblCellMar>
        </w:tblPrEx>
        <w:trPr>
          <w:trHeight w:val="2305"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侵犯奥林匹克标志专有权</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未经奥林匹克标志权利人许可，为商业目的擅自使用奥林匹克标志，或者使用足以引人误认的近似标志，</w:t>
            </w:r>
          </w:p>
          <w:p>
            <w:pPr>
              <w:spacing w:line="280" w:lineRule="exact"/>
              <w:jc w:val="center"/>
              <w:rPr>
                <w:szCs w:val="21"/>
              </w:rPr>
            </w:pP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《奥林匹克标志保护条例》</w:t>
            </w:r>
          </w:p>
          <w:p>
            <w:pPr>
              <w:spacing w:line="280" w:lineRule="exact"/>
              <w:jc w:val="center"/>
              <w:rPr>
                <w:szCs w:val="21"/>
              </w:rPr>
            </w:pPr>
            <w:r>
              <w:rPr>
                <w:rFonts w:hint="eastAsia"/>
                <w:szCs w:val="21"/>
              </w:rPr>
              <w:t>第十二条　未经奥林匹克标志权利人许可，为商业目的擅自使用奥林匹克标志，或者使用足以引人误认的近似标志，即侵犯奥林匹克标志专有权，引起纠纷的，由当事人协商解决;不愿协商或者协商不成的，奥林匹克标志权利人或者利害关系人可以向人民法院提起诉讼，也可以请求市场监督管理部门处理。市场监督管理部门处理时，认定侵权行为成立的，责令立即停止侵权行为，没收、销毁侵权商品和主要用于制造侵权商品或者为商业目的擅自制造奥林匹克标志的工具。违法经营额5万元以上的，可以并处违法经营额5倍以下的罚款，没有违法经营额或者违法经营额不足5万元的，可以并处25万元以下的罚款。当事人对处理决定不服的，可以依照《中华人民共和国行政复议法》申请行政复议，也可以直接依照《中华人民共和国行政诉讼法》向人民法院提起诉讼。进行处理的市场监督管理部门应当事人的请求，可以就侵犯奥林匹克标志专有权的赔偿数额进行调解；调解不成的，当事人可以依照《中华人民共和国民事诉讼法》向人民法院提起诉讼。</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依法规范使用奥林匹克标志。</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梁溪区市场监督管理局知识产权科0510-82698062</w:t>
            </w:r>
          </w:p>
        </w:tc>
      </w:tr>
      <w:tr>
        <w:tblPrEx>
          <w:tblCellMar>
            <w:top w:w="0" w:type="dxa"/>
            <w:left w:w="108" w:type="dxa"/>
            <w:bottom w:w="0" w:type="dxa"/>
            <w:right w:w="108" w:type="dxa"/>
          </w:tblCellMar>
        </w:tblPrEx>
        <w:trPr>
          <w:trHeight w:val="3359"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3</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侵犯注册商标专用权</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(一)未经商标注册人的许可，在同一种商品上使用与其注册商标相同的商标的;</w:t>
            </w:r>
          </w:p>
          <w:p>
            <w:pPr>
              <w:spacing w:line="280" w:lineRule="exact"/>
              <w:jc w:val="center"/>
              <w:rPr>
                <w:szCs w:val="21"/>
              </w:rPr>
            </w:pPr>
            <w:r>
              <w:rPr>
                <w:rFonts w:hint="eastAsia"/>
                <w:szCs w:val="21"/>
              </w:rPr>
              <w:t>(二)未经商标注册人的许可，在同一种商品上使用与其注册商标近似的商标，或者在类似商品上使用与其注册商标相同或者近似的商标，容易导致混淆的;</w:t>
            </w:r>
          </w:p>
          <w:p>
            <w:pPr>
              <w:spacing w:line="280" w:lineRule="exact"/>
              <w:jc w:val="center"/>
              <w:rPr>
                <w:szCs w:val="21"/>
              </w:rPr>
            </w:pPr>
            <w:r>
              <w:rPr>
                <w:rFonts w:hint="eastAsia"/>
                <w:szCs w:val="21"/>
              </w:rPr>
              <w:t>(三)销售侵犯注册商标专用权的商品的;</w:t>
            </w:r>
          </w:p>
          <w:p>
            <w:pPr>
              <w:spacing w:line="280" w:lineRule="exact"/>
              <w:jc w:val="center"/>
              <w:rPr>
                <w:szCs w:val="21"/>
              </w:rPr>
            </w:pPr>
            <w:r>
              <w:rPr>
                <w:rFonts w:hint="eastAsia"/>
                <w:szCs w:val="21"/>
              </w:rPr>
              <w:t>(四)伪造、擅自制造他人注册商标标识或者销售伪造、擅自制造的注册商标标识的;</w:t>
            </w:r>
          </w:p>
          <w:p>
            <w:pPr>
              <w:spacing w:line="280" w:lineRule="exact"/>
              <w:jc w:val="center"/>
              <w:rPr>
                <w:szCs w:val="21"/>
              </w:rPr>
            </w:pPr>
            <w:r>
              <w:rPr>
                <w:rFonts w:hint="eastAsia"/>
                <w:szCs w:val="21"/>
              </w:rPr>
              <w:t>(五)未经商标注册人同意，更换其注册商标并将该更换商标的商品又投入市场的;</w:t>
            </w:r>
          </w:p>
          <w:p>
            <w:pPr>
              <w:spacing w:line="280" w:lineRule="exact"/>
              <w:jc w:val="center"/>
              <w:rPr>
                <w:szCs w:val="21"/>
              </w:rPr>
            </w:pPr>
            <w:r>
              <w:rPr>
                <w:rFonts w:hint="eastAsia"/>
                <w:szCs w:val="21"/>
              </w:rPr>
              <w:t>(六)故意为侵犯他人商标专用权行为提供便利条件，帮助他人实施侵犯商标专用权行为的;</w:t>
            </w:r>
          </w:p>
          <w:p>
            <w:pPr>
              <w:spacing w:line="280" w:lineRule="exact"/>
              <w:jc w:val="center"/>
              <w:rPr>
                <w:szCs w:val="21"/>
              </w:rPr>
            </w:pPr>
            <w:r>
              <w:rPr>
                <w:rFonts w:hint="eastAsia"/>
                <w:szCs w:val="21"/>
              </w:rPr>
              <w:t>(七)给他人的注册商标专用权造成其他损害的。</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《中华人民共和国商标法》</w:t>
            </w:r>
          </w:p>
          <w:p>
            <w:pPr>
              <w:spacing w:line="280" w:lineRule="exact"/>
              <w:jc w:val="center"/>
              <w:rPr>
                <w:szCs w:val="21"/>
              </w:rPr>
            </w:pPr>
            <w:r>
              <w:rPr>
                <w:rFonts w:hint="eastAsia"/>
                <w:szCs w:val="21"/>
              </w:rPr>
              <w:t>第六十条 有本法第五十七条所列侵犯注册商标专用权行为之一，引起纠纷的，由当事人协商解决;不愿协商或者协商不成的，商标注册人或者利害关系人可以向人民法院起诉，也可以请求工商行政管理部门处理。</w:t>
            </w:r>
          </w:p>
          <w:p>
            <w:pPr>
              <w:spacing w:line="280" w:lineRule="exact"/>
              <w:jc w:val="center"/>
              <w:rPr>
                <w:szCs w:val="21"/>
              </w:rPr>
            </w:pPr>
            <w:r>
              <w:rPr>
                <w:rFonts w:hint="eastAsia"/>
                <w:szCs w:val="21"/>
              </w:rPr>
              <w:t>工商行政管理部门处理时，认定侵权行为成立的，责令立即停止侵权行为，没收、销毁侵权商品和主要用于制造侵权商品、伪造注册商标标识的工具，违法经营额五万元以上的，可以处违法经营额五倍以下的罚款，没有违法经营额或者违法经营额不足五万元的，可以处二十五万元以下的罚款。对五年内实施两次以上商标侵权行为或者有其他严重情节的，应当从重处罚。销售不知道是侵犯注册商标专用权的商品，能证明该商品是自己合法取得并说明提供者的，由工商行政管理部门责令停止销售。</w:t>
            </w:r>
          </w:p>
          <w:p>
            <w:pPr>
              <w:spacing w:line="280" w:lineRule="exact"/>
              <w:jc w:val="center"/>
              <w:rPr>
                <w:szCs w:val="21"/>
              </w:rPr>
            </w:pPr>
            <w:r>
              <w:rPr>
                <w:rFonts w:hint="eastAsia"/>
                <w:szCs w:val="21"/>
              </w:rPr>
              <w:t>对侵犯商标专用权的赔偿数额的争议，当事人可以请求进行处理的工商行政管理部门调解，也可以依照《中华人民共和国民事诉讼法》向人民法院起诉。经工商行政管理部门调解，当事人未达成协议或者调解书生效后不履行的，当事人可以依照《中华人民共和国民事诉讼法》向人民法院起诉。</w:t>
            </w:r>
          </w:p>
          <w:p>
            <w:pPr>
              <w:spacing w:line="280" w:lineRule="exact"/>
              <w:jc w:val="center"/>
              <w:rPr>
                <w:szCs w:val="21"/>
              </w:rPr>
            </w:pP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依法规范使用注册商标。</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梁溪区市场监督管理局知识产权科0510-82698062</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4</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商标代理机构违反商标法的行为</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(一)办理商标事宜过程中，伪造、变造或者使用伪造、变造的法律文件、印章、签名的;</w:t>
            </w:r>
          </w:p>
          <w:p>
            <w:pPr>
              <w:spacing w:line="280" w:lineRule="exact"/>
              <w:jc w:val="center"/>
              <w:rPr>
                <w:szCs w:val="21"/>
              </w:rPr>
            </w:pPr>
            <w:r>
              <w:rPr>
                <w:rFonts w:hint="eastAsia"/>
                <w:szCs w:val="21"/>
              </w:rPr>
              <w:t>(二)以诋毁其他商标代理机构等手段招徕商标代理业务或者以其他不正当手段扰乱商标代理市场秩序的;</w:t>
            </w:r>
          </w:p>
          <w:p>
            <w:pPr>
              <w:spacing w:line="280" w:lineRule="exact"/>
              <w:jc w:val="center"/>
              <w:rPr>
                <w:szCs w:val="21"/>
              </w:rPr>
            </w:pPr>
            <w:r>
              <w:rPr>
                <w:rFonts w:hint="eastAsia"/>
                <w:szCs w:val="21"/>
              </w:rPr>
              <w:t>(三)违反本法第四条、第十九条第三款和第四款规定的。</w:t>
            </w:r>
          </w:p>
          <w:p>
            <w:pPr>
              <w:spacing w:line="280" w:lineRule="exact"/>
              <w:jc w:val="center"/>
              <w:rPr>
                <w:szCs w:val="21"/>
              </w:rPr>
            </w:pP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《中华人民共和国商标法》</w:t>
            </w:r>
          </w:p>
          <w:p>
            <w:pPr>
              <w:spacing w:line="280" w:lineRule="exact"/>
              <w:jc w:val="center"/>
              <w:rPr>
                <w:szCs w:val="21"/>
              </w:rPr>
            </w:pPr>
            <w:r>
              <w:rPr>
                <w:rFonts w:hint="eastAsia"/>
                <w:szCs w:val="21"/>
              </w:rPr>
              <w:t>第六十八条  商标代理机构有下列行为之一的，由工商行政管理部门责令限期改正，给予警告，处一万元以上十万元以下的罚款;对直接负责的主管人员和其他直接责任人员给予警告，处五千元以上五万元以下的罚款;构成犯罪的，依法追究刑事责任：</w:t>
            </w:r>
          </w:p>
          <w:p>
            <w:pPr>
              <w:spacing w:line="280" w:lineRule="exact"/>
              <w:jc w:val="center"/>
              <w:rPr>
                <w:szCs w:val="21"/>
              </w:rPr>
            </w:pPr>
            <w:r>
              <w:rPr>
                <w:rFonts w:hint="eastAsia"/>
                <w:szCs w:val="21"/>
              </w:rPr>
              <w:t>(一)办理商标事宜过程中，伪造、变造或者使用伪造、变造的法律文件、印章、签名的;</w:t>
            </w:r>
          </w:p>
          <w:p>
            <w:pPr>
              <w:spacing w:line="280" w:lineRule="exact"/>
              <w:jc w:val="center"/>
              <w:rPr>
                <w:szCs w:val="21"/>
              </w:rPr>
            </w:pPr>
            <w:r>
              <w:rPr>
                <w:rFonts w:hint="eastAsia"/>
                <w:szCs w:val="21"/>
              </w:rPr>
              <w:t>(二)以诋毁其他商标代理机构等手段招徕商标代理业务或者以其他不正当手段扰乱商标代理市场秩序的;</w:t>
            </w:r>
          </w:p>
          <w:p>
            <w:pPr>
              <w:spacing w:line="280" w:lineRule="exact"/>
              <w:jc w:val="center"/>
              <w:rPr>
                <w:szCs w:val="21"/>
              </w:rPr>
            </w:pPr>
            <w:r>
              <w:rPr>
                <w:rFonts w:hint="eastAsia"/>
                <w:szCs w:val="21"/>
              </w:rPr>
              <w:t>(三)违反本法第四条、第十九条第三款和第四款规定的。</w:t>
            </w:r>
          </w:p>
          <w:p>
            <w:pPr>
              <w:spacing w:line="280" w:lineRule="exact"/>
              <w:jc w:val="center"/>
              <w:rPr>
                <w:szCs w:val="21"/>
              </w:rPr>
            </w:pPr>
            <w:r>
              <w:rPr>
                <w:rFonts w:hint="eastAsia"/>
                <w:szCs w:val="21"/>
              </w:rPr>
              <w:t>商标代理机构有前款规定行为的，由工商行政管理部门记入信用档案;情节严重的，商标局、商标评审委员会并可以决定停止受理其办理商标代理业务，予以公告。</w:t>
            </w:r>
          </w:p>
          <w:p>
            <w:pPr>
              <w:spacing w:line="280" w:lineRule="exact"/>
              <w:jc w:val="center"/>
              <w:rPr>
                <w:szCs w:val="21"/>
              </w:rPr>
            </w:pPr>
            <w:r>
              <w:rPr>
                <w:rFonts w:hint="eastAsia"/>
                <w:szCs w:val="21"/>
              </w:rPr>
              <w:t>商标代理机构违反诚实信用原则，侵害委托人合法利益的，应当依法承担民事责任，并由商标代理行业组织按照章程规定予以惩戒。</w:t>
            </w:r>
          </w:p>
          <w:p>
            <w:pPr>
              <w:spacing w:line="280" w:lineRule="exact"/>
              <w:jc w:val="center"/>
              <w:rPr>
                <w:szCs w:val="21"/>
              </w:rPr>
            </w:pPr>
            <w:r>
              <w:rPr>
                <w:rFonts w:hint="eastAsia"/>
                <w:szCs w:val="21"/>
              </w:rPr>
              <w:t>对恶意申请商标注册的，根据情节给予警告、罚款等行政处罚;对恶意提起商标诉讼的，由人民法院依法给予处罚。</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依法规范代理注册商标。</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梁溪区市场监督管理局知识产权科0510-82698062</w:t>
            </w:r>
          </w:p>
        </w:tc>
      </w:tr>
    </w:tbl>
    <w:p>
      <w:pPr>
        <w:widowControl/>
        <w:spacing w:line="200" w:lineRule="exact"/>
        <w:rPr>
          <w:rFonts w:eastAsia="方正楷体_GBK"/>
          <w:szCs w:val="21"/>
        </w:rPr>
      </w:pPr>
      <w:r>
        <w:rPr>
          <w:rFonts w:hint="eastAsia" w:eastAsia="方正楷体_GBK"/>
          <w:szCs w:val="21"/>
        </w:rPr>
        <w:t>备注：1.合规清单适用对象：在梁溪区区域内涉及专利、商标的单位。</w:t>
      </w:r>
    </w:p>
    <w:p>
      <w:pPr>
        <w:widowControl/>
        <w:spacing w:line="200" w:lineRule="exact"/>
        <w:ind w:firstLine="630" w:firstLineChars="300"/>
        <w:rPr>
          <w:rFonts w:eastAsia="方正楷体_GBK"/>
          <w:szCs w:val="21"/>
        </w:rPr>
      </w:pPr>
      <w:r>
        <w:rPr>
          <w:rFonts w:hint="eastAsia" w:eastAsia="方正楷体_GBK"/>
          <w:szCs w:val="21"/>
        </w:rPr>
        <w:t>2、该清单并未涵盖所有专利、商标违法行为。</w:t>
      </w:r>
    </w:p>
    <w:p>
      <w:pPr>
        <w:widowControl/>
        <w:spacing w:line="200" w:lineRule="exact"/>
        <w:ind w:firstLine="630" w:firstLineChars="300"/>
        <w:rPr>
          <w:rFonts w:hint="eastAsia" w:eastAsia="方正楷体_GBK"/>
          <w:szCs w:val="21"/>
        </w:rPr>
      </w:pPr>
      <w:r>
        <w:rPr>
          <w:rFonts w:hint="eastAsia" w:eastAsia="方正楷体_GBK"/>
          <w:szCs w:val="21"/>
        </w:rPr>
        <w:t>3、发生频率较高或危害后果较严重破的为★★★,发生频率和危害后果一般的为★★，发生频率较少或危害后果较轻的为★.</w:t>
      </w:r>
    </w:p>
    <w:p>
      <w:pPr>
        <w:widowControl/>
        <w:spacing w:line="200" w:lineRule="exact"/>
        <w:ind w:firstLine="630" w:firstLineChars="300"/>
        <w:rPr>
          <w:rFonts w:hint="eastAsia" w:eastAsia="方正楷体_GBK"/>
          <w:szCs w:val="21"/>
        </w:rPr>
      </w:pPr>
    </w:p>
    <w:p>
      <w:pPr>
        <w:widowControl/>
        <w:spacing w:line="200" w:lineRule="exact"/>
        <w:ind w:firstLine="630" w:firstLineChars="300"/>
        <w:rPr>
          <w:rFonts w:hint="eastAsia" w:eastAsia="方正楷体_GBK"/>
          <w:szCs w:val="21"/>
        </w:rPr>
      </w:pPr>
    </w:p>
    <w:p>
      <w:pPr>
        <w:widowControl/>
        <w:spacing w:line="200" w:lineRule="exact"/>
        <w:ind w:firstLine="630" w:firstLineChars="300"/>
        <w:rPr>
          <w:rFonts w:hint="eastAsia" w:eastAsia="方正楷体_GBK"/>
          <w:szCs w:val="21"/>
        </w:rPr>
      </w:pPr>
    </w:p>
    <w:p>
      <w:pPr>
        <w:widowControl/>
        <w:spacing w:line="200" w:lineRule="exact"/>
        <w:ind w:firstLine="630" w:firstLineChars="300"/>
        <w:rPr>
          <w:rFonts w:hint="eastAsia" w:eastAsia="方正楷体_GBK"/>
          <w:szCs w:val="21"/>
        </w:rPr>
      </w:pPr>
    </w:p>
    <w:p>
      <w:pPr>
        <w:widowControl/>
        <w:spacing w:line="200" w:lineRule="exact"/>
        <w:ind w:firstLine="630" w:firstLineChars="300"/>
        <w:rPr>
          <w:rFonts w:hint="eastAsia" w:eastAsia="方正楷体_GBK"/>
          <w:szCs w:val="21"/>
        </w:rPr>
      </w:pPr>
    </w:p>
    <w:p>
      <w:pPr>
        <w:widowControl/>
        <w:spacing w:line="200" w:lineRule="exact"/>
        <w:ind w:firstLine="630" w:firstLineChars="300"/>
        <w:rPr>
          <w:rFonts w:hint="eastAsia" w:eastAsia="方正楷体_GBK"/>
          <w:szCs w:val="21"/>
        </w:rPr>
      </w:pPr>
    </w:p>
    <w:p>
      <w:pPr>
        <w:widowControl/>
        <w:spacing w:line="200" w:lineRule="exact"/>
        <w:ind w:firstLine="630" w:firstLineChars="300"/>
        <w:rPr>
          <w:rFonts w:hint="eastAsia" w:eastAsia="方正楷体_GBK"/>
          <w:szCs w:val="21"/>
        </w:rPr>
      </w:pPr>
    </w:p>
    <w:p>
      <w:pPr>
        <w:widowControl/>
        <w:spacing w:line="200" w:lineRule="exact"/>
        <w:ind w:firstLine="630" w:firstLineChars="300"/>
        <w:rPr>
          <w:rFonts w:hint="eastAsia" w:eastAsia="方正楷体_GBK"/>
          <w:szCs w:val="21"/>
        </w:rPr>
      </w:pPr>
    </w:p>
    <w:p>
      <w:pPr>
        <w:widowControl/>
        <w:spacing w:line="200" w:lineRule="exact"/>
        <w:ind w:firstLine="630" w:firstLineChars="300"/>
        <w:rPr>
          <w:rFonts w:hint="eastAsia" w:eastAsia="方正楷体_GBK"/>
          <w:szCs w:val="21"/>
        </w:rPr>
      </w:pPr>
    </w:p>
    <w:p>
      <w:pPr>
        <w:widowControl/>
        <w:spacing w:line="200" w:lineRule="exact"/>
        <w:ind w:firstLine="630" w:firstLineChars="300"/>
        <w:rPr>
          <w:rFonts w:hint="eastAsia" w:eastAsia="方正楷体_GBK"/>
          <w:szCs w:val="21"/>
        </w:rPr>
      </w:pPr>
    </w:p>
    <w:p>
      <w:pPr>
        <w:widowControl/>
        <w:spacing w:line="200" w:lineRule="exact"/>
        <w:ind w:firstLine="630" w:firstLineChars="300"/>
        <w:rPr>
          <w:rFonts w:hint="eastAsia" w:eastAsia="方正楷体_GBK"/>
          <w:szCs w:val="21"/>
        </w:rPr>
      </w:pPr>
    </w:p>
    <w:p>
      <w:pPr>
        <w:widowControl/>
        <w:spacing w:line="200" w:lineRule="exact"/>
        <w:ind w:firstLine="630" w:firstLineChars="300"/>
        <w:rPr>
          <w:rFonts w:hint="eastAsia" w:eastAsia="方正楷体_GBK"/>
          <w:szCs w:val="21"/>
        </w:rPr>
      </w:pPr>
    </w:p>
    <w:p>
      <w:pPr>
        <w:widowControl/>
        <w:spacing w:line="200" w:lineRule="exact"/>
        <w:ind w:firstLine="630" w:firstLineChars="300"/>
        <w:rPr>
          <w:rFonts w:hint="eastAsia" w:eastAsia="方正楷体_GBK"/>
          <w:szCs w:val="21"/>
        </w:rPr>
      </w:pPr>
    </w:p>
    <w:p>
      <w:pPr>
        <w:widowControl/>
        <w:spacing w:line="200" w:lineRule="exact"/>
        <w:ind w:firstLine="630" w:firstLineChars="300"/>
        <w:rPr>
          <w:rFonts w:eastAsia="方正楷体_GBK"/>
          <w:szCs w:val="21"/>
        </w:rPr>
      </w:pPr>
    </w:p>
    <w:p>
      <w:pPr>
        <w:rPr>
          <w:rFonts w:eastAsia="方正楷体_GBK"/>
          <w:szCs w:val="21"/>
        </w:rPr>
      </w:pPr>
      <w:r>
        <w:rPr>
          <w:rFonts w:hint="eastAsia" w:eastAsia="方正楷体_GBK"/>
          <w:szCs w:val="21"/>
        </w:rPr>
        <w:t>药品医疗器械化妆品部分:</w:t>
      </w:r>
    </w:p>
    <w:tbl>
      <w:tblPr>
        <w:tblStyle w:val="6"/>
        <w:tblW w:w="14740" w:type="dxa"/>
        <w:jc w:val="center"/>
        <w:tblLayout w:type="autofit"/>
        <w:tblCellMar>
          <w:top w:w="0" w:type="dxa"/>
          <w:left w:w="108" w:type="dxa"/>
          <w:bottom w:w="0" w:type="dxa"/>
          <w:right w:w="108" w:type="dxa"/>
        </w:tblCellMar>
      </w:tblPr>
      <w:tblGrid>
        <w:gridCol w:w="876"/>
        <w:gridCol w:w="1773"/>
        <w:gridCol w:w="2300"/>
        <w:gridCol w:w="4337"/>
        <w:gridCol w:w="920"/>
        <w:gridCol w:w="2957"/>
        <w:gridCol w:w="1577"/>
      </w:tblGrid>
      <w:tr>
        <w:tblPrEx>
          <w:tblCellMar>
            <w:top w:w="0" w:type="dxa"/>
            <w:left w:w="108" w:type="dxa"/>
            <w:bottom w:w="0" w:type="dxa"/>
            <w:right w:w="108" w:type="dxa"/>
          </w:tblCellMar>
        </w:tblPrEx>
        <w:trPr>
          <w:trHeight w:val="763" w:hRule="atLeast"/>
          <w:tblHeader/>
          <w:jc w:val="center"/>
        </w:trPr>
        <w:tc>
          <w:tcPr>
            <w:tcW w:w="876"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序号</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行政合规</w:t>
            </w:r>
          </w:p>
          <w:p>
            <w:pPr>
              <w:spacing w:line="280" w:lineRule="exact"/>
              <w:jc w:val="center"/>
              <w:rPr>
                <w:rFonts w:ascii="方正黑体_GBK" w:hAnsi="黑体" w:eastAsia="方正黑体_GBK"/>
                <w:szCs w:val="21"/>
              </w:rPr>
            </w:pPr>
            <w:r>
              <w:rPr>
                <w:rFonts w:hint="eastAsia" w:ascii="方正黑体_GBK" w:hAnsi="黑体" w:eastAsia="方正黑体_GBK"/>
                <w:szCs w:val="21"/>
              </w:rPr>
              <w:t>事项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常见违法行为表现</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法律依据及违法责任</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风险等级</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合规建议</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指导部门（科室）</w:t>
            </w:r>
          </w:p>
        </w:tc>
      </w:tr>
      <w:tr>
        <w:tblPrEx>
          <w:tblCellMar>
            <w:top w:w="0" w:type="dxa"/>
            <w:left w:w="108" w:type="dxa"/>
            <w:bottom w:w="0" w:type="dxa"/>
            <w:right w:w="108" w:type="dxa"/>
          </w:tblCellMar>
        </w:tblPrEx>
        <w:trPr>
          <w:trHeight w:val="23"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未取得《药品经营许可证》不得经营按药品管理的风油精、创口贴等非处方药等</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无《药品经营许可证》经营按药品管理的风油精、创口贴等</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《中华人民共和国药品管理法》</w:t>
            </w:r>
          </w:p>
          <w:p>
            <w:pPr>
              <w:spacing w:line="280" w:lineRule="exact"/>
              <w:jc w:val="center"/>
              <w:rPr>
                <w:szCs w:val="21"/>
              </w:rPr>
            </w:pPr>
            <w:r>
              <w:rPr>
                <w:rFonts w:hint="eastAsia"/>
                <w:szCs w:val="21"/>
              </w:rPr>
              <w:t xml:space="preserve">第五十一条　从事药品批发活动，应当经所在地省、自治区、直辖市人民政府药品监督管理部门批准，取得药品经营许可证。从事药品零售活动，应当经所在地县级以上地方人民政府药品监督管理部门批准，取得药品经营许可证。无药品经营许可证的，不得经营药品。                           </w:t>
            </w:r>
          </w:p>
          <w:p>
            <w:pPr>
              <w:spacing w:line="280" w:lineRule="exact"/>
              <w:jc w:val="center"/>
              <w:rPr>
                <w:szCs w:val="21"/>
              </w:rPr>
            </w:pPr>
            <w:r>
              <w:rPr>
                <w:rFonts w:hint="eastAsia"/>
                <w:szCs w:val="21"/>
              </w:rPr>
              <w:t xml:space="preserve"> 第一百一十五条　未取得药品生产许可证、药品经营许可证或者医疗机构制剂许可证生产、销售药品的，责令关闭，没收违法生产、销售的药品和违法所得，并处违法生产、销售的药品（包括已售出和未售出的药品，下同）货值金额十五倍以上三十倍以下的罚款；货值金额不足十万元的，按十万元计算。</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药品零售企业购进药品需要从合法的具有药品经营资质的批发企业购进，且经营须具备相应的储存条件。小超市、小卖部在未取得《药品经营许可证》的情况下，无证经营风油精、创口贴等对于药品质量安全存在风险隐患。</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梁溪区市场监督管理局药品医疗器械监督管理科0510-82735215</w:t>
            </w:r>
          </w:p>
        </w:tc>
      </w:tr>
      <w:tr>
        <w:tblPrEx>
          <w:tblCellMar>
            <w:top w:w="0" w:type="dxa"/>
            <w:left w:w="108" w:type="dxa"/>
            <w:bottom w:w="0" w:type="dxa"/>
            <w:right w:w="108" w:type="dxa"/>
          </w:tblCellMar>
        </w:tblPrEx>
        <w:trPr>
          <w:trHeight w:val="2305"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未取得《第二类医疗器械经营备案凭证》不得经营按二类医疗器械管理的一次性使用医用口罩等</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无《第二类医疗器械经营备案凭证》经营按二类医疗器械管理的一次性使用医用口罩等</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《医疗器械监督管理条例》</w:t>
            </w:r>
          </w:p>
          <w:p>
            <w:pPr>
              <w:spacing w:line="280" w:lineRule="exact"/>
              <w:jc w:val="center"/>
              <w:rPr>
                <w:szCs w:val="21"/>
              </w:rPr>
            </w:pPr>
            <w:r>
              <w:rPr>
                <w:rFonts w:hint="eastAsia"/>
                <w:szCs w:val="21"/>
              </w:rPr>
              <w:t xml:space="preserve">第五十五条　医疗器械经营企业、使用单位不得经营、使用未依法注册或者备案、无合格证明文件以及过期、失效、淘汰的医疗器械。                                    </w:t>
            </w:r>
          </w:p>
          <w:p>
            <w:pPr>
              <w:spacing w:line="280" w:lineRule="exact"/>
              <w:jc w:val="center"/>
              <w:rPr>
                <w:szCs w:val="21"/>
              </w:rPr>
            </w:pPr>
            <w:r>
              <w:rPr>
                <w:rFonts w:hint="eastAsia"/>
                <w:szCs w:val="21"/>
              </w:rPr>
              <w:t>第八十四条　有下列情形之一的，由负责药品监督管理的部门向社会公告单位和产品名称，责令限期改正；逾期不改正的，没收违法所得、违法生产经营的医疗器械；违法生产经营的医疗器械货值金额不足1万元的，并处1万元以上5万元以下罚款；货值金额1万元以上的，并处货值金额5倍以上20倍以下罚款；情节严重的，对违法单位的法定代表人、主要负责人、直接负责的主管人员和其他责任人员，没收违法行为发生期间自本单位所获收入，并处所获收入30%以上2倍以下罚款，5年内禁止其从事医疗器械生产经营活动：</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医疗器械零售企业购进二类医疗器械须从合法的具有二类医疗器械经营资质的批发企业购进，且经营须具备相应的储存条件。未取得备案经营二类医疗器械对于医疗器械质量安全存在风险隐患。</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梁溪区市场监督管理局药品医疗器械监督管理科0510-82735215</w:t>
            </w:r>
          </w:p>
        </w:tc>
      </w:tr>
      <w:tr>
        <w:tblPrEx>
          <w:tblCellMar>
            <w:top w:w="0" w:type="dxa"/>
            <w:left w:w="108" w:type="dxa"/>
            <w:bottom w:w="0" w:type="dxa"/>
            <w:right w:w="108" w:type="dxa"/>
          </w:tblCellMar>
        </w:tblPrEx>
        <w:trPr>
          <w:trHeight w:val="3359"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3</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化妆品经营者应当建立并执行进货查验记录制度，查验供货者的市场主体登记证明、化妆品注册或者备案情况、产品出厂检验合格证明，如实记录并保存相关凭证。</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化妆品经营者没有建立并执行进货查验记录制度，查验供货者的市场主体登记证明、化妆品注册或者备案情况、产品出厂检验合格证明，如实记录并保存相关凭证。</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《化妆品监督管理条例》</w:t>
            </w:r>
          </w:p>
          <w:p>
            <w:pPr>
              <w:spacing w:line="280" w:lineRule="exact"/>
              <w:jc w:val="center"/>
              <w:rPr>
                <w:szCs w:val="21"/>
              </w:rPr>
            </w:pPr>
            <w:r>
              <w:rPr>
                <w:rFonts w:hint="eastAsia"/>
                <w:szCs w:val="21"/>
              </w:rPr>
              <w:t xml:space="preserve">第三十八条　化妆品经营者应当建立并执行进货查验记录制度，查验供货者的市场主体登记证明、化妆品注册或者备案情况、产品出厂检验合格证明，如实记录并保存相关凭证。记录和凭证保存期限应当符合本条例第三十一条第一款的规定。                </w:t>
            </w:r>
          </w:p>
          <w:p>
            <w:pPr>
              <w:spacing w:line="280" w:lineRule="exact"/>
              <w:jc w:val="center"/>
              <w:rPr>
                <w:szCs w:val="21"/>
              </w:rPr>
            </w:pPr>
            <w:r>
              <w:rPr>
                <w:rFonts w:hint="eastAsia"/>
                <w:szCs w:val="21"/>
              </w:rPr>
              <w:t>第六十二条　有下列情形之一的，由负责药品监督管理的部门责令改正，给予警告，并处1万元以上3万元以下罚款；情节严重的，责令停产停业，并处3万元以上5万元以下罚款，对违法单位的法定代表人或者主要负责人、直接负责的主管人员和其他直接责任人员处1万元以上3万元以下罚款：（二）未依照本条例规定建立并执行进货查验记录制度、产品销售记录制度；</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化妆品经营者应当建立并执行进货查验记录制度，查验供货者的市场主体登记证明、化妆品注册或者备案情况、产品出厂检验合格证明，如实记录并保存相关凭证，确保化妆品的产品质量安全。</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梁溪区市场监督管理局药品医疗器械监督管理科0510-82735215</w:t>
            </w:r>
          </w:p>
        </w:tc>
      </w:tr>
    </w:tbl>
    <w:p>
      <w:pPr>
        <w:widowControl/>
        <w:spacing w:line="220" w:lineRule="exact"/>
        <w:rPr>
          <w:rFonts w:eastAsia="方正楷体_GBK"/>
          <w:szCs w:val="21"/>
        </w:rPr>
      </w:pPr>
      <w:r>
        <w:rPr>
          <w:rFonts w:hint="eastAsia" w:eastAsia="方正楷体_GBK"/>
          <w:szCs w:val="21"/>
        </w:rPr>
        <w:t>备注：1.合规清单适用对象：在梁溪区区域从事经营药品、医疗器械、化妆品的单位。</w:t>
      </w:r>
    </w:p>
    <w:p>
      <w:pPr>
        <w:widowControl/>
        <w:spacing w:line="220" w:lineRule="exact"/>
        <w:ind w:firstLine="630" w:firstLineChars="300"/>
        <w:rPr>
          <w:rFonts w:eastAsia="方正楷体_GBK"/>
          <w:szCs w:val="21"/>
        </w:rPr>
      </w:pPr>
      <w:r>
        <w:rPr>
          <w:rFonts w:hint="eastAsia" w:eastAsia="方正楷体_GBK"/>
          <w:szCs w:val="21"/>
        </w:rPr>
        <w:t>2、该清单并未涵盖所有药品、医疗器械、化妆品行为。</w:t>
      </w:r>
    </w:p>
    <w:p>
      <w:pPr>
        <w:widowControl/>
        <w:spacing w:line="220" w:lineRule="exact"/>
        <w:ind w:firstLine="630" w:firstLineChars="300"/>
        <w:rPr>
          <w:rFonts w:eastAsia="方正楷体_GBK"/>
          <w:szCs w:val="21"/>
        </w:rPr>
      </w:pPr>
      <w:r>
        <w:rPr>
          <w:rFonts w:hint="eastAsia" w:eastAsia="方正楷体_GBK"/>
          <w:szCs w:val="21"/>
        </w:rPr>
        <w:t>3、发生频率较高或危害后果较严重破的为★★★,发生频率和危害后果一般的为★★，发生频率较少或危害后果较轻的为★。</w:t>
      </w:r>
    </w:p>
    <w:p>
      <w:pPr>
        <w:rPr>
          <w:rFonts w:eastAsia="方正楷体_GBK"/>
          <w:szCs w:val="21"/>
        </w:rPr>
      </w:pPr>
      <w:r>
        <w:rPr>
          <w:rFonts w:hint="eastAsia" w:eastAsia="方正楷体_GBK"/>
          <w:szCs w:val="21"/>
        </w:rPr>
        <w:t>标准化和计量监督管理部分:</w:t>
      </w:r>
    </w:p>
    <w:tbl>
      <w:tblPr>
        <w:tblStyle w:val="6"/>
        <w:tblW w:w="14740" w:type="dxa"/>
        <w:jc w:val="center"/>
        <w:tblLayout w:type="autofit"/>
        <w:tblCellMar>
          <w:top w:w="0" w:type="dxa"/>
          <w:left w:w="108" w:type="dxa"/>
          <w:bottom w:w="0" w:type="dxa"/>
          <w:right w:w="108" w:type="dxa"/>
        </w:tblCellMar>
      </w:tblPr>
      <w:tblGrid>
        <w:gridCol w:w="876"/>
        <w:gridCol w:w="1773"/>
        <w:gridCol w:w="2300"/>
        <w:gridCol w:w="4337"/>
        <w:gridCol w:w="920"/>
        <w:gridCol w:w="2957"/>
        <w:gridCol w:w="1577"/>
      </w:tblGrid>
      <w:tr>
        <w:tblPrEx>
          <w:tblCellMar>
            <w:top w:w="0" w:type="dxa"/>
            <w:left w:w="108" w:type="dxa"/>
            <w:bottom w:w="0" w:type="dxa"/>
            <w:right w:w="108" w:type="dxa"/>
          </w:tblCellMar>
        </w:tblPrEx>
        <w:trPr>
          <w:trHeight w:val="763" w:hRule="atLeast"/>
          <w:tblHeader/>
          <w:jc w:val="center"/>
        </w:trPr>
        <w:tc>
          <w:tcPr>
            <w:tcW w:w="876"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序号</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行政合规</w:t>
            </w:r>
          </w:p>
          <w:p>
            <w:pPr>
              <w:spacing w:line="280" w:lineRule="exact"/>
              <w:jc w:val="center"/>
              <w:rPr>
                <w:rFonts w:ascii="方正黑体_GBK" w:hAnsi="黑体" w:eastAsia="方正黑体_GBK"/>
                <w:szCs w:val="21"/>
              </w:rPr>
            </w:pPr>
            <w:r>
              <w:rPr>
                <w:rFonts w:hint="eastAsia" w:ascii="方正黑体_GBK" w:hAnsi="黑体" w:eastAsia="方正黑体_GBK"/>
                <w:szCs w:val="21"/>
              </w:rPr>
              <w:t>事项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常见违法行为表现</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法律依据及违法责任</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风险等级</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合规建议</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指导部门（科室）</w:t>
            </w:r>
          </w:p>
        </w:tc>
      </w:tr>
      <w:tr>
        <w:tblPrEx>
          <w:tblCellMar>
            <w:top w:w="0" w:type="dxa"/>
            <w:left w:w="108" w:type="dxa"/>
            <w:bottom w:w="0" w:type="dxa"/>
            <w:right w:w="108" w:type="dxa"/>
          </w:tblCellMar>
        </w:tblPrEx>
        <w:trPr>
          <w:trHeight w:val="23"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用于贸易结算、安全防护、医疗卫生、环境监测等方面的泪如强制检定目录的工作计量器具必须实行进行强制检定</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使用的列入《实施强制管理的计量器具目录》中的计量器具未实施强制检定或者检定不合格</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《中华人民共和国计量法》</w:t>
            </w:r>
          </w:p>
          <w:p>
            <w:pPr>
              <w:spacing w:line="280" w:lineRule="exact"/>
              <w:jc w:val="center"/>
              <w:rPr>
                <w:szCs w:val="21"/>
              </w:rPr>
            </w:pPr>
            <w:r>
              <w:rPr>
                <w:rFonts w:hint="eastAsia"/>
                <w:szCs w:val="21"/>
              </w:rPr>
              <w:t>　第九条   县级以上人民政府计量行政部门对社会公用计量标准器具，部门和企业、事业单位使用的最高计量标准器具，以及用于贸易结算、安全防护、医疗卫生、环境监测方面的列入强制检定目录的工作计量器具，实行强制检定。未按照规定申请检定或者检定不合格的，不得使用。实行强制检定的工作计量器具的目录和管理办法，由国务院制定。对前款规定以外的其他计量标准器具和工作计量器具，使用单位应当自行定期检定或者送其他计量检定机构检定，县级以上人民政府计量行政部门应当进行监督检查。</w:t>
            </w:r>
          </w:p>
          <w:p>
            <w:pPr>
              <w:spacing w:line="280" w:lineRule="exact"/>
              <w:jc w:val="center"/>
              <w:rPr>
                <w:szCs w:val="21"/>
              </w:rPr>
            </w:pPr>
            <w:r>
              <w:rPr>
                <w:rFonts w:hint="eastAsia"/>
                <w:szCs w:val="21"/>
              </w:rPr>
              <w:t>《中华人民共和国计量法实施细则》</w:t>
            </w:r>
          </w:p>
          <w:p>
            <w:pPr>
              <w:spacing w:line="280" w:lineRule="exact"/>
              <w:jc w:val="center"/>
              <w:rPr>
                <w:szCs w:val="21"/>
              </w:rPr>
            </w:pPr>
            <w:r>
              <w:rPr>
                <w:rFonts w:hint="eastAsia"/>
                <w:szCs w:val="21"/>
              </w:rPr>
              <w:t>第四十三条 属于强制检定范围的计量器具，未按照规定申请检定和属于非强制检定范围的计量器具未自行定期检定或者送其他计量检定机构定期检定的，以及经检定不合格继续使用的，责令其停止使用，可并处1000元以下的罚款。</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《关于调整实施强制管理的计量器具目录的公告》（国家市场监管总局2020年第42号）公布的33大类和45小类的计量器具必须实施强制检定合格后方可使用。</w:t>
            </w:r>
          </w:p>
          <w:p>
            <w:pPr>
              <w:spacing w:line="280" w:lineRule="exact"/>
              <w:jc w:val="center"/>
              <w:rPr>
                <w:szCs w:val="21"/>
              </w:rPr>
            </w:pP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梁溪区市场监督管理局标准计量科0510-82402095</w:t>
            </w:r>
          </w:p>
        </w:tc>
      </w:tr>
      <w:tr>
        <w:tblPrEx>
          <w:tblCellMar>
            <w:top w:w="0" w:type="dxa"/>
            <w:left w:w="108" w:type="dxa"/>
            <w:bottom w:w="0" w:type="dxa"/>
            <w:right w:w="108" w:type="dxa"/>
          </w:tblCellMar>
        </w:tblPrEx>
        <w:trPr>
          <w:trHeight w:val="2305"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企业应当公开其执行的标准，企业执行自行制定的企业标准时，应当公开产品、服务的功能指标和产品的性能指标</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未公开其执行的各类标准及相关信息</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《中华人民共和国标准化法》</w:t>
            </w:r>
          </w:p>
          <w:p>
            <w:pPr>
              <w:spacing w:line="280" w:lineRule="exact"/>
              <w:jc w:val="center"/>
              <w:rPr>
                <w:szCs w:val="21"/>
              </w:rPr>
            </w:pPr>
            <w:r>
              <w:rPr>
                <w:rFonts w:hint="eastAsia"/>
                <w:szCs w:val="21"/>
              </w:rPr>
              <w:t> 第二十七条　国家实行团体标准、企业标准自我声明公开和监督制度。企业应当公开其执行的强制性标准、推荐性标准、团体标准或者企业标准的编号和名称；企业执行自行制定的企业标准的，还应当公开产品、服务的功能指标和产品的性能指标。国家鼓励团体标准、企业标准通过标准信息公共服务平台向社会公开。</w:t>
            </w:r>
          </w:p>
          <w:p>
            <w:pPr>
              <w:spacing w:line="280" w:lineRule="exact"/>
              <w:jc w:val="center"/>
              <w:rPr>
                <w:szCs w:val="21"/>
              </w:rPr>
            </w:pPr>
          </w:p>
          <w:p>
            <w:pPr>
              <w:spacing w:line="280" w:lineRule="exact"/>
              <w:jc w:val="center"/>
              <w:rPr>
                <w:szCs w:val="21"/>
              </w:rPr>
            </w:pPr>
            <w:r>
              <w:rPr>
                <w:rFonts w:hint="eastAsia"/>
                <w:szCs w:val="21"/>
              </w:rPr>
              <w:t>《中华人民共和国标准化法》</w:t>
            </w:r>
          </w:p>
          <w:p>
            <w:pPr>
              <w:spacing w:line="280" w:lineRule="exact"/>
              <w:jc w:val="center"/>
              <w:rPr>
                <w:szCs w:val="21"/>
              </w:rPr>
            </w:pPr>
            <w:r>
              <w:rPr>
                <w:rFonts w:hint="eastAsia"/>
                <w:szCs w:val="21"/>
              </w:rPr>
              <w:t>第三十八条　企业未依照本法规定公开其执行的标准的，由标准化行政主管部门责令限期改正；逾期不改正的，在标准信息公共服务平台上公示。</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企业应当公开其执行的强制性标准、推荐性标准、团体标准或者企业标准的编号和名称；企业执行自行制定的企业标准的，还应当公开产品、服务的功能指标和产品的性能指标。鼓励团体标准、企业标准通过《企业标准信息公共服务平台》向社会公开。</w:t>
            </w:r>
          </w:p>
          <w:p>
            <w:pPr>
              <w:spacing w:line="280" w:lineRule="exact"/>
              <w:jc w:val="center"/>
              <w:rPr>
                <w:szCs w:val="21"/>
              </w:rPr>
            </w:pP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梁溪区市场监督管理局标准计量科0510-82402095</w:t>
            </w:r>
          </w:p>
        </w:tc>
      </w:tr>
    </w:tbl>
    <w:p>
      <w:pPr>
        <w:widowControl/>
        <w:spacing w:line="300" w:lineRule="exact"/>
        <w:rPr>
          <w:rFonts w:eastAsia="方正楷体_GBK"/>
          <w:szCs w:val="21"/>
        </w:rPr>
      </w:pPr>
      <w:r>
        <w:rPr>
          <w:rFonts w:hint="eastAsia" w:eastAsia="方正楷体_GBK"/>
          <w:szCs w:val="21"/>
        </w:rPr>
        <w:t>备注：1.合规清单适用对象：在梁溪区区域从事计量器具生产、使用的单位和农业、工业、服务业、社会事业等领域内有统一技术要求的各类企业。</w:t>
      </w:r>
    </w:p>
    <w:p>
      <w:pPr>
        <w:widowControl/>
        <w:spacing w:line="300" w:lineRule="exact"/>
        <w:ind w:firstLine="630" w:firstLineChars="300"/>
        <w:rPr>
          <w:rFonts w:eastAsia="方正楷体_GBK"/>
          <w:szCs w:val="21"/>
        </w:rPr>
      </w:pPr>
      <w:r>
        <w:rPr>
          <w:rFonts w:hint="eastAsia" w:eastAsia="方正楷体_GBK"/>
          <w:szCs w:val="21"/>
        </w:rPr>
        <w:t>2、该清单并未涵盖所有标准化和计量方面的违法违规行为。</w:t>
      </w:r>
    </w:p>
    <w:p>
      <w:pPr>
        <w:widowControl/>
        <w:spacing w:line="300" w:lineRule="exact"/>
        <w:ind w:firstLine="630" w:firstLineChars="300"/>
        <w:rPr>
          <w:rFonts w:eastAsia="方正楷体_GBK"/>
          <w:szCs w:val="21"/>
        </w:rPr>
      </w:pPr>
      <w:r>
        <w:rPr>
          <w:rFonts w:hint="eastAsia" w:eastAsia="方正楷体_GBK"/>
          <w:szCs w:val="21"/>
        </w:rPr>
        <w:t>3、发生频率较高或危害后果较严重破的为★★★,发生频率和危害后果一般的为★★，发生频率较少或危害后果较轻的为★。</w:t>
      </w:r>
    </w:p>
    <w:p>
      <w:pPr>
        <w:rPr>
          <w:rFonts w:eastAsia="方正楷体_GBK"/>
          <w:szCs w:val="21"/>
        </w:rPr>
      </w:pPr>
    </w:p>
    <w:p>
      <w:pPr>
        <w:rPr>
          <w:rFonts w:eastAsia="方正楷体_GBK"/>
          <w:szCs w:val="21"/>
        </w:rPr>
      </w:pPr>
    </w:p>
    <w:p>
      <w:pPr>
        <w:rPr>
          <w:rFonts w:eastAsia="方正楷体_GBK"/>
          <w:szCs w:val="21"/>
        </w:rPr>
      </w:pPr>
    </w:p>
    <w:p>
      <w:pPr>
        <w:rPr>
          <w:rFonts w:eastAsia="方正楷体_GBK"/>
          <w:szCs w:val="21"/>
        </w:rPr>
      </w:pPr>
    </w:p>
    <w:p>
      <w:pPr>
        <w:rPr>
          <w:rFonts w:eastAsia="方正楷体_GBK"/>
          <w:szCs w:val="21"/>
        </w:rPr>
      </w:pPr>
    </w:p>
    <w:p>
      <w:pPr>
        <w:rPr>
          <w:rFonts w:eastAsia="方正楷体_GBK"/>
          <w:szCs w:val="21"/>
        </w:rPr>
      </w:pPr>
    </w:p>
    <w:p>
      <w:pPr>
        <w:rPr>
          <w:rFonts w:eastAsia="方正楷体_GBK"/>
          <w:szCs w:val="21"/>
        </w:rPr>
      </w:pPr>
    </w:p>
    <w:p>
      <w:pPr>
        <w:rPr>
          <w:rFonts w:eastAsia="方正楷体_GBK"/>
          <w:szCs w:val="21"/>
        </w:rPr>
      </w:pPr>
      <w:r>
        <w:rPr>
          <w:rFonts w:hint="eastAsia" w:eastAsia="方正楷体_GBK"/>
          <w:szCs w:val="21"/>
        </w:rPr>
        <w:t>农业监管部分:</w:t>
      </w:r>
    </w:p>
    <w:tbl>
      <w:tblPr>
        <w:tblStyle w:val="6"/>
        <w:tblW w:w="14740" w:type="dxa"/>
        <w:jc w:val="center"/>
        <w:tblLayout w:type="autofit"/>
        <w:tblCellMar>
          <w:top w:w="0" w:type="dxa"/>
          <w:left w:w="108" w:type="dxa"/>
          <w:bottom w:w="0" w:type="dxa"/>
          <w:right w:w="108" w:type="dxa"/>
        </w:tblCellMar>
      </w:tblPr>
      <w:tblGrid>
        <w:gridCol w:w="876"/>
        <w:gridCol w:w="1773"/>
        <w:gridCol w:w="2300"/>
        <w:gridCol w:w="4337"/>
        <w:gridCol w:w="920"/>
        <w:gridCol w:w="2957"/>
        <w:gridCol w:w="1577"/>
      </w:tblGrid>
      <w:tr>
        <w:tblPrEx>
          <w:tblCellMar>
            <w:top w:w="0" w:type="dxa"/>
            <w:left w:w="108" w:type="dxa"/>
            <w:bottom w:w="0" w:type="dxa"/>
            <w:right w:w="108" w:type="dxa"/>
          </w:tblCellMar>
        </w:tblPrEx>
        <w:trPr>
          <w:trHeight w:val="763" w:hRule="atLeast"/>
          <w:tblHeader/>
          <w:jc w:val="center"/>
        </w:trPr>
        <w:tc>
          <w:tcPr>
            <w:tcW w:w="876"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序号</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行政合规</w:t>
            </w:r>
          </w:p>
          <w:p>
            <w:pPr>
              <w:spacing w:line="280" w:lineRule="exact"/>
              <w:jc w:val="center"/>
              <w:rPr>
                <w:rFonts w:ascii="方正黑体_GBK" w:hAnsi="黑体" w:eastAsia="方正黑体_GBK"/>
                <w:szCs w:val="21"/>
              </w:rPr>
            </w:pPr>
            <w:r>
              <w:rPr>
                <w:rFonts w:hint="eastAsia" w:ascii="方正黑体_GBK" w:hAnsi="黑体" w:eastAsia="方正黑体_GBK"/>
                <w:szCs w:val="21"/>
              </w:rPr>
              <w:t>事项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常见违法行为表现</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法律依据及违法责任</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风险等级</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合规建议</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方正黑体_GBK" w:hAnsi="黑体" w:eastAsia="方正黑体_GBK"/>
                <w:szCs w:val="21"/>
              </w:rPr>
            </w:pPr>
            <w:r>
              <w:rPr>
                <w:rFonts w:hint="eastAsia" w:ascii="方正黑体_GBK" w:hAnsi="黑体" w:eastAsia="方正黑体_GBK"/>
                <w:szCs w:val="21"/>
              </w:rPr>
              <w:t>指导部门（科室）</w:t>
            </w:r>
          </w:p>
        </w:tc>
      </w:tr>
      <w:tr>
        <w:tblPrEx>
          <w:tblCellMar>
            <w:top w:w="0" w:type="dxa"/>
            <w:left w:w="108" w:type="dxa"/>
            <w:bottom w:w="0" w:type="dxa"/>
            <w:right w:w="108" w:type="dxa"/>
          </w:tblCellMar>
        </w:tblPrEx>
        <w:trPr>
          <w:trHeight w:val="23"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1</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农药经营者应取得农药经营许可证经营农药。</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未取得农药经营许可证经营农药；</w:t>
            </w:r>
          </w:p>
          <w:p>
            <w:pPr>
              <w:spacing w:line="280" w:lineRule="exact"/>
              <w:jc w:val="center"/>
              <w:rPr>
                <w:szCs w:val="21"/>
              </w:rPr>
            </w:pPr>
            <w:r>
              <w:rPr>
                <w:rFonts w:hint="eastAsia"/>
                <w:szCs w:val="21"/>
              </w:rPr>
              <w:t>经营假农药。</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《农药管理条例》</w:t>
            </w:r>
          </w:p>
          <w:p>
            <w:pPr>
              <w:spacing w:line="280" w:lineRule="exact"/>
              <w:jc w:val="center"/>
              <w:rPr>
                <w:szCs w:val="21"/>
              </w:rPr>
            </w:pPr>
            <w:r>
              <w:rPr>
                <w:rFonts w:hint="eastAsia"/>
                <w:szCs w:val="21"/>
              </w:rPr>
              <w:t>第五十五条　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并处货值金额5倍以上10倍以下罚款；构成犯罪的，依法追究刑事责任：</w:t>
            </w:r>
          </w:p>
          <w:p>
            <w:pPr>
              <w:spacing w:line="280" w:lineRule="exact"/>
              <w:jc w:val="center"/>
              <w:rPr>
                <w:szCs w:val="21"/>
              </w:rPr>
            </w:pPr>
            <w:r>
              <w:rPr>
                <w:rFonts w:hint="eastAsia"/>
                <w:szCs w:val="21"/>
              </w:rPr>
              <w:t>（一）违反本条例规定，未取得农药经营许可证经营农药；</w:t>
            </w:r>
          </w:p>
          <w:p>
            <w:pPr>
              <w:spacing w:line="280" w:lineRule="exact"/>
              <w:jc w:val="center"/>
              <w:rPr>
                <w:szCs w:val="21"/>
              </w:rPr>
            </w:pPr>
            <w:r>
              <w:rPr>
                <w:rFonts w:hint="eastAsia"/>
                <w:szCs w:val="21"/>
              </w:rPr>
              <w:t>（二）经营假农药；</w:t>
            </w:r>
          </w:p>
          <w:p>
            <w:pPr>
              <w:spacing w:line="280" w:lineRule="exact"/>
              <w:jc w:val="center"/>
              <w:rPr>
                <w:szCs w:val="21"/>
              </w:rPr>
            </w:pPr>
            <w:r>
              <w:rPr>
                <w:rFonts w:hint="eastAsia"/>
                <w:szCs w:val="21"/>
              </w:rPr>
              <w:t>（三）在农药中添加物质。</w:t>
            </w:r>
          </w:p>
          <w:p>
            <w:pPr>
              <w:spacing w:line="280" w:lineRule="exact"/>
              <w:jc w:val="center"/>
              <w:rPr>
                <w:szCs w:val="21"/>
              </w:rPr>
            </w:pPr>
            <w:r>
              <w:rPr>
                <w:rFonts w:hint="eastAsia"/>
                <w:szCs w:val="21"/>
              </w:rPr>
              <w:t>有前款第二项、第三项规定的行为，情节严重的，还应当由发证机关吊销农药经营许可证。</w:t>
            </w:r>
          </w:p>
          <w:p>
            <w:pPr>
              <w:spacing w:line="280" w:lineRule="exact"/>
              <w:jc w:val="center"/>
              <w:rPr>
                <w:szCs w:val="21"/>
              </w:rPr>
            </w:pPr>
            <w:r>
              <w:rPr>
                <w:rFonts w:hint="eastAsia"/>
                <w:szCs w:val="21"/>
              </w:rPr>
              <w:t>取得农药经营许可证的农药经营者不再符合规定条件继续经营农药的，由县级以上地方人民政府农业主管部门责令限期整改；逾期拒不整改或者整改后仍不符合规定条件的，由发证机关吊销农药经营许可证。</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1、农药经营者应当具备申请农药经营许可证各项条件，并申请农药经营许可证后经营农药。</w:t>
            </w:r>
          </w:p>
          <w:p>
            <w:pPr>
              <w:spacing w:line="280" w:lineRule="exact"/>
              <w:jc w:val="center"/>
              <w:rPr>
                <w:szCs w:val="21"/>
              </w:rPr>
            </w:pPr>
            <w:r>
              <w:rPr>
                <w:rFonts w:hint="eastAsia"/>
                <w:szCs w:val="21"/>
              </w:rPr>
              <w:t>2、农药经营者采购农药应当查验产品包装、标签、产品质量检验合格证以及有关许可证明文件，不得向未取得农药生产许可证的农药生产企业或者未取得农药经营许可证的其他农药经营者采购农药。</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梁溪区市场监督管理局农业监管科0510-82400973</w:t>
            </w:r>
          </w:p>
        </w:tc>
      </w:tr>
      <w:tr>
        <w:tblPrEx>
          <w:tblCellMar>
            <w:top w:w="0" w:type="dxa"/>
            <w:left w:w="108" w:type="dxa"/>
            <w:bottom w:w="0" w:type="dxa"/>
            <w:right w:w="108" w:type="dxa"/>
          </w:tblCellMar>
        </w:tblPrEx>
        <w:trPr>
          <w:trHeight w:val="2305"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2</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农药经营者应当经营符合国家规定的农药。</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农药经营者经营劣质农药。</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《农药管理条例》</w:t>
            </w:r>
          </w:p>
          <w:p>
            <w:pPr>
              <w:spacing w:line="280" w:lineRule="exact"/>
              <w:jc w:val="center"/>
              <w:rPr>
                <w:szCs w:val="21"/>
              </w:rPr>
            </w:pPr>
            <w:r>
              <w:rPr>
                <w:rFonts w:hint="eastAsia"/>
                <w:szCs w:val="21"/>
              </w:rPr>
              <w:t>第五十六条　农药经营者经营劣质农药的，由县级以上地方人民政府农业主管部门责令停止经营，没收违法所得、违法经营的农药和用于违法经营的工具、设备等，违法经营的农药货值金额不足1万元的，并处2000元以上2万元以下罚款，货值金额1万元以上的，并处货值金额2倍以上5倍以下罚款；情节严重的，由发证机关吊销农药经营许可证；构成犯罪的，依法追究刑事责任。</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农药经营者采购农药应当查验产品包装、标签、产品质量检验合格证以及有关许可证明文件，不得向未取得农药生产许可证的农药生产企业或者未取得农药经营许可证的其他农药经营者采购农药。</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梁溪区市场监督管理局农业监管科0510-82400973</w:t>
            </w:r>
          </w:p>
        </w:tc>
      </w:tr>
      <w:tr>
        <w:tblPrEx>
          <w:tblCellMar>
            <w:top w:w="0" w:type="dxa"/>
            <w:left w:w="108" w:type="dxa"/>
            <w:bottom w:w="0" w:type="dxa"/>
            <w:right w:w="108" w:type="dxa"/>
          </w:tblCellMar>
        </w:tblPrEx>
        <w:trPr>
          <w:trHeight w:val="3359"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3</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设立分支机构依法变更农药经营许可证。</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设立分支机构未依法变更农药经营许可证。</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《农药管理条例》</w:t>
            </w:r>
          </w:p>
          <w:p>
            <w:pPr>
              <w:spacing w:line="280" w:lineRule="exact"/>
              <w:jc w:val="center"/>
              <w:rPr>
                <w:szCs w:val="21"/>
              </w:rPr>
            </w:pPr>
            <w:r>
              <w:rPr>
                <w:rFonts w:hint="eastAsia"/>
                <w:szCs w:val="21"/>
              </w:rPr>
              <w:t>第五十七条　农药经营者有下列行为之一的，由县级以上地方人民政府农业主管部门责令改正，没收违法所得和违法经营的农药，并处5000元以上5万元以下罚款；拒不改正或者情节严重的，由发证机关吊销农药经营许可证：</w:t>
            </w:r>
          </w:p>
          <w:p>
            <w:pPr>
              <w:spacing w:line="280" w:lineRule="exact"/>
              <w:jc w:val="center"/>
              <w:rPr>
                <w:szCs w:val="21"/>
              </w:rPr>
            </w:pPr>
            <w:r>
              <w:rPr>
                <w:rFonts w:hint="eastAsia"/>
                <w:szCs w:val="21"/>
              </w:rPr>
              <w:t>（一）设立分支机构未依法变更农药经营许可证，或者未向分支机构所在地县级以上地方人民政府农业主管部门备案；</w:t>
            </w:r>
          </w:p>
          <w:p>
            <w:pPr>
              <w:spacing w:line="280" w:lineRule="exact"/>
              <w:jc w:val="center"/>
              <w:rPr>
                <w:szCs w:val="21"/>
              </w:rPr>
            </w:pPr>
            <w:r>
              <w:rPr>
                <w:rFonts w:hint="eastAsia"/>
                <w:szCs w:val="21"/>
              </w:rPr>
              <w:t>（二）向未取得农药生产许可证的农药生产企业或者未取得农药经营许可证的其他农药经营者采购农药；</w:t>
            </w:r>
          </w:p>
          <w:p>
            <w:pPr>
              <w:spacing w:line="280" w:lineRule="exact"/>
              <w:jc w:val="center"/>
              <w:rPr>
                <w:szCs w:val="21"/>
              </w:rPr>
            </w:pPr>
            <w:r>
              <w:rPr>
                <w:rFonts w:hint="eastAsia"/>
                <w:szCs w:val="21"/>
              </w:rPr>
              <w:t>（三）采购、销售未附具产品质量检验合格证或者包装、标签不符合规定的农药；</w:t>
            </w:r>
          </w:p>
          <w:p>
            <w:pPr>
              <w:spacing w:line="280" w:lineRule="exact"/>
              <w:jc w:val="center"/>
              <w:rPr>
                <w:szCs w:val="21"/>
              </w:rPr>
            </w:pPr>
            <w:r>
              <w:rPr>
                <w:rFonts w:hint="eastAsia"/>
                <w:szCs w:val="21"/>
              </w:rPr>
              <w:t>（四）不停止销售依法应当召回的农药。</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农药经营许可证载明事项发生变化的，农药经营者应当按照国务院农业主管部门的规定申请变更农药经营许可证。</w:t>
            </w:r>
          </w:p>
          <w:p>
            <w:pPr>
              <w:spacing w:line="280" w:lineRule="exact"/>
              <w:jc w:val="center"/>
              <w:rPr>
                <w:szCs w:val="21"/>
              </w:rPr>
            </w:pPr>
            <w:r>
              <w:rPr>
                <w:rFonts w:hint="eastAsia"/>
                <w:szCs w:val="21"/>
              </w:rPr>
              <w:t>取得农药经营许可证的农药经营者设立分支机构的，应当依法申请变更农药经营许可证，并向分支机构所在地县级以上地方人民政府农业主管部门备案，其分支机构免予办理农药经营许可证。农药经营者应当对其分支机构的经营活动负责。</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梁溪区市场监督管理局农业监管科0510-82400973</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4</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农药经营者应当建立销售台账，如实记录销售农药的名称、规格、数量、生产企业、购买人、销售日期等内容。</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不执行农药采购台账、销售台账制度。</w:t>
            </w:r>
          </w:p>
          <w:p>
            <w:pPr>
              <w:spacing w:line="280" w:lineRule="exact"/>
              <w:jc w:val="center"/>
              <w:rPr>
                <w:szCs w:val="21"/>
              </w:rPr>
            </w:pP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《农药管理条例》</w:t>
            </w:r>
          </w:p>
          <w:p>
            <w:pPr>
              <w:spacing w:line="280" w:lineRule="exact"/>
              <w:jc w:val="center"/>
              <w:rPr>
                <w:szCs w:val="21"/>
              </w:rPr>
            </w:pPr>
            <w:r>
              <w:rPr>
                <w:rFonts w:hint="eastAsia"/>
                <w:szCs w:val="21"/>
              </w:rPr>
              <w:t>第五十八条　农药经营者有下列行为之一的，由县级以上地方人民政府农业主管部门责令改正；拒不改正或者情节严重的，处2000元以上2万元以下罚款，并由发证机关吊销农药经营许可证： </w:t>
            </w:r>
          </w:p>
          <w:p>
            <w:pPr>
              <w:spacing w:line="280" w:lineRule="exact"/>
              <w:jc w:val="center"/>
              <w:rPr>
                <w:szCs w:val="21"/>
              </w:rPr>
            </w:pPr>
            <w:r>
              <w:rPr>
                <w:rFonts w:hint="eastAsia"/>
                <w:szCs w:val="21"/>
              </w:rPr>
              <w:t>（一）不执行农药采购台账、销售台账制度；</w:t>
            </w:r>
          </w:p>
          <w:p>
            <w:pPr>
              <w:spacing w:line="280" w:lineRule="exact"/>
              <w:jc w:val="center"/>
              <w:rPr>
                <w:szCs w:val="21"/>
              </w:rPr>
            </w:pPr>
            <w:r>
              <w:rPr>
                <w:rFonts w:hint="eastAsia"/>
                <w:szCs w:val="21"/>
              </w:rPr>
              <w:t>（二）在卫生用农药以外的农药经营场所内经营食品、食用农产品、饲料等；</w:t>
            </w:r>
          </w:p>
          <w:p>
            <w:pPr>
              <w:spacing w:line="280" w:lineRule="exact"/>
              <w:jc w:val="center"/>
              <w:rPr>
                <w:szCs w:val="21"/>
              </w:rPr>
            </w:pPr>
            <w:r>
              <w:rPr>
                <w:rFonts w:hint="eastAsia"/>
                <w:szCs w:val="21"/>
              </w:rPr>
              <w:t>（三）未将卫生用农药与其他商品分柜销售；</w:t>
            </w:r>
          </w:p>
          <w:p>
            <w:pPr>
              <w:spacing w:line="280" w:lineRule="exact"/>
              <w:jc w:val="center"/>
              <w:rPr>
                <w:szCs w:val="21"/>
              </w:rPr>
            </w:pPr>
            <w:r>
              <w:rPr>
                <w:rFonts w:hint="eastAsia"/>
                <w:szCs w:val="21"/>
              </w:rPr>
              <w:t>（四）不履行农药废弃物回收义务。</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农药经营者应当建立销售台账，如实记录销售农药的名称、规格、数量、生产企业、购买人、销售日期等内容。销售台账应当保存2年以上。</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梁溪区市场监督管理局农业监管科0510-82400973</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5</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禁止生产经营假、劣种子。</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经营假、劣种子。</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《中华人民共和国种子法》</w:t>
            </w:r>
          </w:p>
          <w:p>
            <w:pPr>
              <w:spacing w:line="280" w:lineRule="exact"/>
              <w:jc w:val="center"/>
              <w:rPr>
                <w:szCs w:val="21"/>
              </w:rPr>
            </w:pPr>
            <w:r>
              <w:rPr>
                <w:rFonts w:hint="eastAsia"/>
                <w:szCs w:val="21"/>
              </w:rPr>
              <w:t>第七十四条　违反本法第四十八条规定，生产经营假种子的，由县级以上人民政府农业农村、林业草原主管部门责令停止生产经营，没收违法所得和种子，吊销种子生产经营许可证；违法生产经营的货值金额不足二万元的，并处二万元以上二十万元以下罚款；货值金额二万元以上的，并处货值金额十倍以上二十倍以下罚款。</w:t>
            </w:r>
          </w:p>
          <w:p>
            <w:pPr>
              <w:spacing w:line="280" w:lineRule="exact"/>
              <w:jc w:val="center"/>
              <w:rPr>
                <w:szCs w:val="21"/>
              </w:rPr>
            </w:pPr>
            <w:r>
              <w:rPr>
                <w:rFonts w:hint="eastAsia"/>
                <w:szCs w:val="21"/>
              </w:rPr>
              <w:t>因生产经营假种子犯罪被判处有期徒刑以上刑罚的，种子企业或者其他单位的法定代表人、直接负责的主管人员自刑罚执行完毕之日起五年内不得担任种子企业的法定代表人、高级管理人员。</w:t>
            </w:r>
          </w:p>
          <w:p>
            <w:pPr>
              <w:spacing w:line="280" w:lineRule="exact"/>
              <w:jc w:val="center"/>
              <w:rPr>
                <w:szCs w:val="21"/>
              </w:rPr>
            </w:pPr>
          </w:p>
          <w:p>
            <w:pPr>
              <w:spacing w:line="280" w:lineRule="exact"/>
              <w:jc w:val="center"/>
              <w:rPr>
                <w:szCs w:val="21"/>
              </w:rPr>
            </w:pPr>
            <w:r>
              <w:rPr>
                <w:rFonts w:hint="eastAsia"/>
                <w:szCs w:val="21"/>
              </w:rPr>
              <w:t>第七十五条　违反本法第四十八条规定，生产经营劣种子的，由县级以上人民政府农业农村、林业草原主管部门责令停止生产经营，没收违法所得和种子；违法生产经营的货值金额不足二万元的，并处一万元以上十万元以下罚款；货值金额二万元以上的，并处货值金额五倍以上十倍以下罚款；情节严重的，吊销种子生产经营许可证。</w:t>
            </w:r>
          </w:p>
          <w:p>
            <w:pPr>
              <w:spacing w:line="280" w:lineRule="exact"/>
              <w:jc w:val="center"/>
              <w:rPr>
                <w:szCs w:val="21"/>
              </w:rPr>
            </w:pPr>
            <w:r>
              <w:rPr>
                <w:rFonts w:hint="eastAsia"/>
                <w:szCs w:val="21"/>
              </w:rPr>
              <w:t>因生产经营劣种子犯罪被判处有期徒刑以上刑罚的，种子企业或者其他单位的法定代表人、直接负责的主管人员自刑罚执行完毕之日起五年内不得担任种子企业的法定代表人、高级管理人员。</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禁止生产经营假、劣种子。农业农村、林业草原主管部门和有关部门依法打击生产经营假、劣种子的违法行为，保护农民合法权益，维护公平竞争的市场秩序。</w:t>
            </w:r>
          </w:p>
          <w:p>
            <w:pPr>
              <w:spacing w:line="280" w:lineRule="exact"/>
              <w:jc w:val="center"/>
              <w:rPr>
                <w:szCs w:val="21"/>
              </w:rPr>
            </w:pPr>
            <w:r>
              <w:rPr>
                <w:rFonts w:hint="eastAsia"/>
                <w:szCs w:val="21"/>
              </w:rPr>
              <w:t>下列种子为假种子：</w:t>
            </w:r>
          </w:p>
          <w:p>
            <w:pPr>
              <w:spacing w:line="280" w:lineRule="exact"/>
              <w:jc w:val="center"/>
              <w:rPr>
                <w:szCs w:val="21"/>
              </w:rPr>
            </w:pPr>
            <w:r>
              <w:rPr>
                <w:rFonts w:hint="eastAsia"/>
                <w:szCs w:val="21"/>
              </w:rPr>
              <w:t>（一）以非种子冒充种子或者以此种品种种子冒充其他品种种子的；</w:t>
            </w:r>
          </w:p>
          <w:p>
            <w:pPr>
              <w:spacing w:line="280" w:lineRule="exact"/>
              <w:jc w:val="center"/>
              <w:rPr>
                <w:szCs w:val="21"/>
              </w:rPr>
            </w:pPr>
            <w:r>
              <w:rPr>
                <w:rFonts w:hint="eastAsia"/>
                <w:szCs w:val="21"/>
              </w:rPr>
              <w:t>（二）种子种类、品种与标签标注的内容不符或者没有标签的。</w:t>
            </w:r>
          </w:p>
          <w:p>
            <w:pPr>
              <w:spacing w:line="280" w:lineRule="exact"/>
              <w:jc w:val="center"/>
              <w:rPr>
                <w:szCs w:val="21"/>
              </w:rPr>
            </w:pPr>
            <w:r>
              <w:rPr>
                <w:rFonts w:hint="eastAsia"/>
                <w:szCs w:val="21"/>
              </w:rPr>
              <w:t>下列种子为劣种子：</w:t>
            </w:r>
          </w:p>
          <w:p>
            <w:pPr>
              <w:spacing w:line="280" w:lineRule="exact"/>
              <w:jc w:val="center"/>
              <w:rPr>
                <w:szCs w:val="21"/>
              </w:rPr>
            </w:pPr>
            <w:r>
              <w:rPr>
                <w:rFonts w:hint="eastAsia"/>
                <w:szCs w:val="21"/>
              </w:rPr>
              <w:t>（一）质量低于国家规定标准的；</w:t>
            </w:r>
          </w:p>
          <w:p>
            <w:pPr>
              <w:spacing w:line="280" w:lineRule="exact"/>
              <w:jc w:val="center"/>
              <w:rPr>
                <w:szCs w:val="21"/>
              </w:rPr>
            </w:pPr>
            <w:r>
              <w:rPr>
                <w:rFonts w:hint="eastAsia"/>
                <w:szCs w:val="21"/>
              </w:rPr>
              <w:t>（二）质量低于标签标注指标的；</w:t>
            </w:r>
          </w:p>
          <w:p>
            <w:pPr>
              <w:spacing w:line="280" w:lineRule="exact"/>
              <w:jc w:val="center"/>
              <w:rPr>
                <w:szCs w:val="21"/>
              </w:rPr>
            </w:pPr>
            <w:r>
              <w:rPr>
                <w:rFonts w:hint="eastAsia"/>
                <w:szCs w:val="21"/>
              </w:rPr>
              <w:t>（三）带有国家规定的检疫性有害生物的。</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梁溪区市场监督管理局农业监管科0510-82400973</w:t>
            </w:r>
          </w:p>
        </w:tc>
      </w:tr>
      <w:tr>
        <w:tblPrEx>
          <w:tblCellMar>
            <w:top w:w="0" w:type="dxa"/>
            <w:left w:w="108" w:type="dxa"/>
            <w:bottom w:w="0" w:type="dxa"/>
            <w:right w:w="108" w:type="dxa"/>
          </w:tblCellMar>
        </w:tblPrEx>
        <w:trPr>
          <w:trHeight w:val="3848" w:hRule="atLeast"/>
          <w:jc w:val="center"/>
        </w:trPr>
        <w:tc>
          <w:tcPr>
            <w:tcW w:w="876" w:type="dxa"/>
            <w:tcBorders>
              <w:top w:val="single" w:color="000000" w:sz="4" w:space="0"/>
              <w:left w:val="single" w:color="000000" w:sz="4" w:space="0"/>
              <w:bottom w:val="single" w:color="000000" w:sz="4" w:space="0"/>
              <w:right w:val="single" w:color="000000" w:sz="4" w:space="0"/>
            </w:tcBorders>
            <w:noWrap/>
            <w:vAlign w:val="center"/>
          </w:tcPr>
          <w:p>
            <w:pPr>
              <w:spacing w:line="280" w:lineRule="exact"/>
              <w:jc w:val="center"/>
              <w:rPr>
                <w:szCs w:val="21"/>
              </w:rPr>
            </w:pPr>
            <w:r>
              <w:rPr>
                <w:rFonts w:hint="eastAsia"/>
                <w:szCs w:val="21"/>
              </w:rPr>
              <w:t>6</w:t>
            </w:r>
          </w:p>
        </w:tc>
        <w:tc>
          <w:tcPr>
            <w:tcW w:w="1773"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销售的种子应当符合国家或者行业标准，附有标签和使用说明。。</w:t>
            </w:r>
          </w:p>
        </w:tc>
        <w:tc>
          <w:tcPr>
            <w:tcW w:w="230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销售的种子没有使用说明或者标签内容不符合规定。</w:t>
            </w:r>
          </w:p>
        </w:tc>
        <w:tc>
          <w:tcPr>
            <w:tcW w:w="433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《中华人民共和国种子法》</w:t>
            </w:r>
          </w:p>
          <w:p>
            <w:pPr>
              <w:spacing w:line="280" w:lineRule="exact"/>
              <w:jc w:val="center"/>
              <w:rPr>
                <w:szCs w:val="21"/>
              </w:rPr>
            </w:pPr>
            <w:r>
              <w:rPr>
                <w:rFonts w:hint="eastAsia"/>
                <w:szCs w:val="21"/>
              </w:rPr>
              <w:t>第七十九条　违反本法第三十六条、第三十八条、第三十九条、第四十条规定，有下列行为之一的，由县级以上人民政府农业农村、林业草原主管部门责令改正，处二千元以上二万元以下罚款：</w:t>
            </w:r>
          </w:p>
          <w:p>
            <w:pPr>
              <w:spacing w:line="280" w:lineRule="exact"/>
              <w:jc w:val="center"/>
              <w:rPr>
                <w:szCs w:val="21"/>
              </w:rPr>
            </w:pPr>
            <w:r>
              <w:rPr>
                <w:rFonts w:hint="eastAsia"/>
                <w:szCs w:val="21"/>
              </w:rPr>
              <w:t>（一）销售的种子应当包装而没有包装的；</w:t>
            </w:r>
          </w:p>
          <w:p>
            <w:pPr>
              <w:spacing w:line="280" w:lineRule="exact"/>
              <w:jc w:val="center"/>
              <w:rPr>
                <w:szCs w:val="21"/>
              </w:rPr>
            </w:pPr>
            <w:r>
              <w:rPr>
                <w:rFonts w:hint="eastAsia"/>
                <w:szCs w:val="21"/>
              </w:rPr>
              <w:t>（二）销售的种子没有使用说明或者标签内容不符合规定的；</w:t>
            </w:r>
          </w:p>
          <w:p>
            <w:pPr>
              <w:spacing w:line="280" w:lineRule="exact"/>
              <w:jc w:val="center"/>
              <w:rPr>
                <w:szCs w:val="21"/>
              </w:rPr>
            </w:pPr>
            <w:r>
              <w:rPr>
                <w:rFonts w:hint="eastAsia"/>
                <w:szCs w:val="21"/>
              </w:rPr>
              <w:t>（三）涂改标签的；</w:t>
            </w:r>
          </w:p>
          <w:p>
            <w:pPr>
              <w:spacing w:line="280" w:lineRule="exact"/>
              <w:jc w:val="center"/>
              <w:rPr>
                <w:szCs w:val="21"/>
              </w:rPr>
            </w:pPr>
            <w:r>
              <w:rPr>
                <w:rFonts w:hint="eastAsia"/>
                <w:szCs w:val="21"/>
              </w:rPr>
              <w:t>（四）未按规定建立、保存种子生产经营档案的；</w:t>
            </w:r>
          </w:p>
          <w:p>
            <w:pPr>
              <w:spacing w:line="280" w:lineRule="exact"/>
              <w:jc w:val="center"/>
              <w:rPr>
                <w:szCs w:val="21"/>
              </w:rPr>
            </w:pPr>
            <w:r>
              <w:rPr>
                <w:rFonts w:hint="eastAsia"/>
                <w:szCs w:val="21"/>
              </w:rPr>
              <w:t>（五）种子生产经营者在异地设立分支机构、专门经营不再分装的包装种子或者受委托生产、代销种子，未按规定备案的。</w:t>
            </w:r>
          </w:p>
        </w:tc>
        <w:tc>
          <w:tcPr>
            <w:tcW w:w="920"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w:t>
            </w:r>
          </w:p>
        </w:tc>
        <w:tc>
          <w:tcPr>
            <w:tcW w:w="295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p>
          <w:p>
            <w:pPr>
              <w:spacing w:line="280" w:lineRule="exact"/>
              <w:jc w:val="center"/>
              <w:rPr>
                <w:szCs w:val="21"/>
              </w:rPr>
            </w:pPr>
            <w:r>
              <w:rPr>
                <w:rFonts w:hint="eastAsia"/>
                <w:szCs w:val="21"/>
              </w:rPr>
              <w:t>销售的种子应当符合国家或者行业标准，附有标签和使用说明。标签和使用说明标注的内容应当与销售的种子相符。种子生产经营者对标注内容的真实性和种子质量负责。</w:t>
            </w:r>
          </w:p>
        </w:tc>
        <w:tc>
          <w:tcPr>
            <w:tcW w:w="1577" w:type="dxa"/>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szCs w:val="21"/>
              </w:rPr>
            </w:pPr>
            <w:r>
              <w:rPr>
                <w:rFonts w:hint="eastAsia"/>
                <w:szCs w:val="21"/>
              </w:rPr>
              <w:t>梁溪区市场监督管理局农业监管科0510-82400973</w:t>
            </w:r>
          </w:p>
        </w:tc>
      </w:tr>
    </w:tbl>
    <w:p>
      <w:pPr>
        <w:widowControl/>
        <w:spacing w:line="300" w:lineRule="exact"/>
        <w:rPr>
          <w:rFonts w:eastAsia="方正楷体_GBK"/>
          <w:szCs w:val="21"/>
        </w:rPr>
      </w:pPr>
      <w:r>
        <w:rPr>
          <w:rFonts w:hint="eastAsia" w:eastAsia="方正楷体_GBK"/>
          <w:szCs w:val="21"/>
        </w:rPr>
        <w:t>备注：1.合规清单适用对象：在梁溪区区域内从事农药生产经营或者提供服务的自然人、法人和非法人组织。</w:t>
      </w:r>
    </w:p>
    <w:p>
      <w:pPr>
        <w:widowControl/>
        <w:spacing w:line="300" w:lineRule="exact"/>
        <w:ind w:firstLine="630" w:firstLineChars="300"/>
        <w:rPr>
          <w:rFonts w:eastAsia="方正楷体_GBK"/>
          <w:szCs w:val="21"/>
        </w:rPr>
      </w:pPr>
      <w:r>
        <w:rPr>
          <w:rFonts w:hint="eastAsia" w:eastAsia="方正楷体_GBK"/>
          <w:szCs w:val="21"/>
        </w:rPr>
        <w:t>2、该清单并未涵盖所有农药生产经营违法违规行为。</w:t>
      </w:r>
    </w:p>
    <w:p>
      <w:pPr>
        <w:widowControl/>
        <w:spacing w:line="300" w:lineRule="exact"/>
        <w:ind w:firstLine="630" w:firstLineChars="300"/>
      </w:pPr>
      <w:r>
        <w:rPr>
          <w:rFonts w:hint="eastAsia" w:eastAsia="方正楷体_GBK"/>
          <w:szCs w:val="21"/>
        </w:rPr>
        <w:t>3、发生频率较高的为★★★，发生频率一般的为★★，发生频率较少的为★。</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MS PGothic">
    <w:panose1 w:val="020B0600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1NzVjNjZlNjVmMjk4MWI2NWRmNzYwOWQxMjYwZDgifQ=="/>
  </w:docVars>
  <w:rsids>
    <w:rsidRoot w:val="5C0A54EE"/>
    <w:rsid w:val="00023C57"/>
    <w:rsid w:val="000841EC"/>
    <w:rsid w:val="001B0FAF"/>
    <w:rsid w:val="001C2633"/>
    <w:rsid w:val="001D7FA8"/>
    <w:rsid w:val="001F0FF5"/>
    <w:rsid w:val="00276181"/>
    <w:rsid w:val="00296AFF"/>
    <w:rsid w:val="00306DEC"/>
    <w:rsid w:val="00434C12"/>
    <w:rsid w:val="00474F52"/>
    <w:rsid w:val="004B3285"/>
    <w:rsid w:val="00530BB2"/>
    <w:rsid w:val="00682A2A"/>
    <w:rsid w:val="007C1C54"/>
    <w:rsid w:val="00AA6A84"/>
    <w:rsid w:val="00BF6DA8"/>
    <w:rsid w:val="00C439D3"/>
    <w:rsid w:val="00E933F4"/>
    <w:rsid w:val="00F97591"/>
    <w:rsid w:val="0B835865"/>
    <w:rsid w:val="0DF97503"/>
    <w:rsid w:val="105E660D"/>
    <w:rsid w:val="159E5571"/>
    <w:rsid w:val="1D5545F3"/>
    <w:rsid w:val="251E0596"/>
    <w:rsid w:val="3DD07879"/>
    <w:rsid w:val="419F141C"/>
    <w:rsid w:val="5C0A54EE"/>
    <w:rsid w:val="6E082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32"/>
      <w:lang w:val="en-US" w:eastAsia="zh-CN" w:bidi="ar-SA"/>
    </w:rPr>
  </w:style>
  <w:style w:type="paragraph" w:styleId="2">
    <w:name w:val="heading 1"/>
    <w:basedOn w:val="1"/>
    <w:next w:val="1"/>
    <w:autoRedefine/>
    <w:qFormat/>
    <w:uiPriority w:val="1"/>
    <w:pPr>
      <w:spacing w:before="61"/>
      <w:ind w:left="1040"/>
      <w:outlineLvl w:val="0"/>
    </w:pPr>
    <w:rPr>
      <w:rFonts w:ascii="楷体" w:hAnsi="楷体" w:eastAsia="楷体" w:cs="楷体"/>
      <w:sz w:val="28"/>
      <w:szCs w:val="28"/>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1"/>
    <w:autoRedefine/>
    <w:unhideWhenUsed/>
    <w:qFormat/>
    <w:uiPriority w:val="99"/>
    <w:pPr>
      <w:adjustRightInd w:val="0"/>
      <w:snapToGrid w:val="0"/>
      <w:spacing w:after="120" w:line="360" w:lineRule="auto"/>
    </w:pPr>
    <w:rPr>
      <w:rFonts w:eastAsia="仿宋"/>
      <w:sz w:val="32"/>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paragraph"/>
    <w:basedOn w:val="1"/>
    <w:semiHidden/>
    <w:qFormat/>
    <w:uiPriority w:val="0"/>
    <w:pPr>
      <w:widowControl/>
      <w:spacing w:before="100" w:beforeAutospacing="1" w:after="100" w:afterAutospacing="1"/>
      <w:jc w:val="left"/>
    </w:pPr>
    <w:rPr>
      <w:rFonts w:ascii="等线" w:hAnsi="等线" w:eastAsia="等线"/>
      <w:kern w:val="0"/>
      <w:sz w:val="24"/>
      <w:szCs w:val="24"/>
    </w:rPr>
  </w:style>
  <w:style w:type="paragraph" w:customStyle="1" w:styleId="9">
    <w:name w:val="Table Paragraph"/>
    <w:basedOn w:val="1"/>
    <w:qFormat/>
    <w:uiPriority w:val="1"/>
  </w:style>
  <w:style w:type="paragraph" w:customStyle="1" w:styleId="10">
    <w:name w:val="正文文本 (7)"/>
    <w:basedOn w:val="1"/>
    <w:autoRedefine/>
    <w:qFormat/>
    <w:uiPriority w:val="0"/>
    <w:pPr>
      <w:spacing w:after="40"/>
      <w:ind w:firstLine="440"/>
    </w:pPr>
    <w:rPr>
      <w:rFonts w:ascii="宋体" w:hAnsi="宋体" w:cs="宋体"/>
      <w:sz w:val="30"/>
      <w:szCs w:val="30"/>
    </w:rPr>
  </w:style>
  <w:style w:type="paragraph" w:customStyle="1" w:styleId="11">
    <w:name w:val="表格标题"/>
    <w:basedOn w:val="1"/>
    <w:autoRedefine/>
    <w:qFormat/>
    <w:uiPriority w:val="0"/>
    <w:rPr>
      <w:rFonts w:ascii="宋体" w:hAnsi="宋体" w:cs="宋体"/>
      <w:sz w:val="15"/>
      <w:szCs w:val="15"/>
    </w:rPr>
  </w:style>
  <w:style w:type="paragraph" w:customStyle="1" w:styleId="12">
    <w:name w:val="其他"/>
    <w:basedOn w:val="1"/>
    <w:qFormat/>
    <w:uiPriority w:val="0"/>
    <w:pPr>
      <w:spacing w:line="235" w:lineRule="exact"/>
      <w:jc w:val="left"/>
    </w:pPr>
    <w:rPr>
      <w:rFonts w:ascii="宋体" w:hAnsi="宋体"/>
      <w:kern w:val="0"/>
      <w:sz w:val="15"/>
      <w:szCs w:val="15"/>
    </w:rPr>
  </w:style>
  <w:style w:type="paragraph" w:customStyle="1" w:styleId="13">
    <w:name w:val="页眉或页脚"/>
    <w:basedOn w:val="1"/>
    <w:autoRedefine/>
    <w:qFormat/>
    <w:uiPriority w:val="0"/>
    <w:pPr>
      <w:jc w:val="center"/>
    </w:pPr>
    <w:rPr>
      <w:rFonts w:ascii="宋体" w:hAnsi="宋体" w:cs="宋体"/>
      <w:sz w:val="28"/>
      <w:szCs w:val="28"/>
    </w:rPr>
  </w:style>
  <w:style w:type="character" w:customStyle="1" w:styleId="14">
    <w:name w:val="页眉 Char"/>
    <w:basedOn w:val="7"/>
    <w:link w:val="5"/>
    <w:autoRedefine/>
    <w:qFormat/>
    <w:uiPriority w:val="0"/>
    <w:rPr>
      <w:rFonts w:ascii="Times New Roman" w:hAnsi="Times New Roman" w:eastAsia="宋体" w:cs="Times New Roman"/>
      <w:kern w:val="2"/>
      <w:sz w:val="18"/>
      <w:szCs w:val="18"/>
    </w:rPr>
  </w:style>
  <w:style w:type="character" w:customStyle="1" w:styleId="15">
    <w:name w:val="页脚 Char"/>
    <w:basedOn w:val="7"/>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157</Pages>
  <Words>13315</Words>
  <Characters>75901</Characters>
  <Lines>632</Lines>
  <Paragraphs>178</Paragraphs>
  <TotalTime>106</TotalTime>
  <ScaleCrop>false</ScaleCrop>
  <LinksUpToDate>false</LinksUpToDate>
  <CharactersWithSpaces>89038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2023-11-06T05:42:00Z</dcterms:created>
  <dc:creator>无趣</dc:creator>
  <cp:lastModifiedBy>节约每一分每一毛</cp:lastModifiedBy>
  <dcterms:modified xsi:type="dcterms:W3CDTF">2024-04-02T08:03:57Z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F31E33A6FDE142C888B431363C283C26_13</vt:lpwstr>
  </property>
</Properties>
</file>