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黑体" w:eastAsia="方正小标宋_GBK" w:cs="黑体"/>
          <w:bCs/>
          <w:sz w:val="44"/>
          <w:szCs w:val="44"/>
        </w:rPr>
      </w:pPr>
      <w:r>
        <w:rPr>
          <w:rFonts w:hint="eastAsia" w:ascii="方正小标宋_GBK" w:hAnsi="黑体" w:eastAsia="方正小标宋_GBK" w:cs="黑体"/>
          <w:bCs/>
          <w:sz w:val="44"/>
          <w:szCs w:val="44"/>
        </w:rPr>
        <w:t>区行政审批局2021年度工作总结</w:t>
      </w:r>
    </w:p>
    <w:p>
      <w:pPr>
        <w:spacing w:line="560" w:lineRule="exact"/>
        <w:ind w:firstLine="643" w:firstLineChars="200"/>
        <w:jc w:val="left"/>
        <w:rPr>
          <w:rFonts w:ascii="Times New Roman" w:hAnsi="Times New Roman" w:eastAsia="方正黑体_GBK" w:cs="Times New Roman"/>
          <w:b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一、2021年工作任务完成情况</w:t>
      </w:r>
    </w:p>
    <w:p>
      <w:pPr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sz w:val="32"/>
          <w:szCs w:val="32"/>
        </w:rPr>
        <w:t xml:space="preserve">    </w:t>
      </w:r>
      <w:r>
        <w:rPr>
          <w:rFonts w:hint="eastAsia" w:ascii="方正仿宋_GBK" w:hAnsi="Times New Roman" w:eastAsia="方正仿宋_GBK" w:cs="Times New Roman"/>
          <w:sz w:val="32"/>
          <w:szCs w:val="32"/>
        </w:rPr>
        <w:t>2021年，在区委、区政府的正确领导下，我局紧紧围绕区委、区政府中心大局，认真贯彻落实省市区党代会精神，紧扣“一网通办”“一窗受理”等重点目标任务，以党史学习教育“我为群众办实事”实践活动为抓手，履职尽责，创新突破，营商环境政务服务持续优化，“放管服”改革和政务服务工作呈现良好向上的发展态势，各项工作取得新的成效。全年新登记法人企业8669户，同比增长36.80%，增幅全市第一。工改系统考核位于全市前列。区街社区三级政务体系建设更加健全。街道一级均成立了行政审批局，为新一年的工作奠定基础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特色亮点工作被国家级媒体报道8次，被省级媒体报道16次，被学习强国平台录用9次。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今年三季度，获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区“争第一创唯一季季评”首面高质量发展考核季度流动红旗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。区政务服务中心被表彰为“2019-2021年度江苏省文明单位”。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审批一科获评“2021年度江苏省巾帼文明岗”。 </w:t>
      </w:r>
    </w:p>
    <w:p>
      <w:pPr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（一）</w:t>
      </w:r>
      <w:r>
        <w:rPr>
          <w:rFonts w:ascii="Times New Roman" w:hAnsi="Times New Roman" w:eastAsia="方正楷体_GBK" w:cs="Times New Roman"/>
          <w:b/>
          <w:sz w:val="32"/>
          <w:szCs w:val="32"/>
        </w:rPr>
        <w:t>企业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登记</w:t>
      </w:r>
      <w:r>
        <w:rPr>
          <w:rFonts w:ascii="Times New Roman" w:hAnsi="Times New Roman" w:eastAsia="方正楷体_GBK" w:cs="Times New Roman"/>
          <w:b/>
          <w:sz w:val="32"/>
          <w:szCs w:val="32"/>
        </w:rPr>
        <w:t>服务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便利化程度不断提升。</w:t>
      </w:r>
      <w:r>
        <w:rPr>
          <w:rFonts w:ascii="Times New Roman" w:hAnsi="Times New Roman" w:eastAsia="方正仿宋_GBK" w:cs="Times New Roman"/>
          <w:sz w:val="32"/>
          <w:szCs w:val="32"/>
        </w:rPr>
        <w:t>线上依托新版“全链通”平台，实现企业登记、公章刻制、银行开户等5个企业开办环节全程网上集中办理，有效压缩开办时间，实现企业开办“0.5个工作日”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完成“不见面”审批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线下推行 “1+1”联办专窗，协调7家银行进驻大厅联办窗口，全年通过联办专窗共设立企业3907户，占同类型新设企业的49.51%。积极提倡“网上办、掌上办、不见面办”，扩大企业设立全程电子化登记覆盖面，加大电子营业执照的发放力度，全年共发放电子营业执照7961份，新设内资法人企业100%发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全面实现为新开办企业免费刻制公章服务，全年共为7230户企业免费刻制公章，帮助企业节约资金216.9万元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上线企业登记档案网上查询系统，企业可7×24小时自助查档。全年完成企业开办9859户、变更12146户、备案724户、注销4680户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全年新登记法人企业8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669</w:t>
      </w:r>
      <w:r>
        <w:rPr>
          <w:rFonts w:ascii="Times New Roman" w:hAnsi="Times New Roman" w:eastAsia="方正仿宋_GBK" w:cs="Times New Roman"/>
          <w:sz w:val="32"/>
          <w:szCs w:val="32"/>
        </w:rPr>
        <w:t>户，同比增长3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6.80</w:t>
      </w:r>
      <w:r>
        <w:rPr>
          <w:rFonts w:ascii="Times New Roman" w:hAnsi="Times New Roman" w:eastAsia="方正仿宋_GBK" w:cs="Times New Roman"/>
          <w:sz w:val="32"/>
          <w:szCs w:val="32"/>
        </w:rPr>
        <w:t>%，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增幅全市第一。</w:t>
      </w:r>
      <w:r>
        <w:rPr>
          <w:rFonts w:ascii="Times New Roman" w:hAnsi="Times New Roman" w:eastAsia="方正仿宋_GBK" w:cs="Times New Roman"/>
          <w:sz w:val="32"/>
          <w:szCs w:val="32"/>
        </w:rPr>
        <w:t>个体工商户开办10768户、变更3331户、注销7003户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新登记个体工商户10005户，同比增长15.26%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在从严落实危化品经营许可审查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全年受理危险化学品经营许可申请115件，开展危化品经营企业现场核查115家次，颁发《危险化学品经营许可证》70份，注销《危险化学品经营许可证》15家，办结时间比承诺的7个工作日减少2个工作日，办结时限提升28%。全面实施娱乐场所经营许可“告知承诺制”，建筑面积300平米（不含）以下歌舞游艺娱乐场所申请办理《娱乐场所经营许可证》不再提交消防合格证，全年共办理出版物零售许可70件，网络文化经营许可5家，娱乐经营许可44家，文艺表演团体3家，电影放映企业换证10家，房地产中介机构备案36家。</w:t>
      </w:r>
    </w:p>
    <w:p>
      <w:pPr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（二）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投资</w:t>
      </w:r>
      <w:r>
        <w:rPr>
          <w:rFonts w:ascii="Times New Roman" w:hAnsi="Times New Roman" w:eastAsia="方正楷体_GBK" w:cs="Times New Roman"/>
          <w:b/>
          <w:sz w:val="32"/>
          <w:szCs w:val="32"/>
        </w:rPr>
        <w:t>项目审批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持续提速。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紧紧围绕全区重大项目建设、“双清双增”的重点工作，不断优化审批流程，提高审批速度。</w:t>
      </w:r>
      <w:r>
        <w:rPr>
          <w:rFonts w:ascii="Times New Roman" w:hAnsi="Times New Roman" w:eastAsia="方正仿宋_GBK" w:cs="Times New Roman"/>
          <w:sz w:val="32"/>
          <w:szCs w:val="32"/>
        </w:rPr>
        <w:t>全面落实市工程建设项目分类分级管理及“主题式”“情景式”审批流程，修订《梁溪区工程建设项目审批办事指南》，减少材料数101份，实施共享材料115份，为公众提供涵盖全区6个部门54个事项完整、准确、实用的工改办事指南。配合市级部门完成工改与资规局内部审批模块、住建厅施工许可证模块、水电气外线工程模块的数据对接和磨合完善，工改系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实现</w:t>
      </w:r>
      <w:r>
        <w:rPr>
          <w:rFonts w:ascii="Times New Roman" w:hAnsi="Times New Roman" w:eastAsia="方正仿宋_GBK" w:cs="Times New Roman"/>
          <w:sz w:val="32"/>
          <w:szCs w:val="32"/>
        </w:rPr>
        <w:t>全覆盖。全年工改完成工程事项征求232次，审批事项办理数973个，“一张蓝图”策划生成项目数74个，并联审批83个，告知承诺办件74个，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项目审批最长时间压缩至（）工作日，</w:t>
      </w:r>
      <w:r>
        <w:rPr>
          <w:rFonts w:ascii="Times New Roman" w:hAnsi="Times New Roman" w:eastAsia="方正仿宋_GBK" w:cs="Times New Roman"/>
          <w:sz w:val="32"/>
          <w:szCs w:val="32"/>
        </w:rPr>
        <w:t>整体比省指标提速27%。出台《无锡市梁溪区“拿地即开工”实施细则（试行）》，做到事前介入、热情服务、优先审批，帮助企业划定路线图、倒排时间表、政策一口清，完成华腾军创（江苏）产业园项目3个工作日“拿地即开工”全流程审批，扬名街道天安智谷（无锡）工业互联产业基地项目成为无锡市首例实施“拿地即开工"的新型产业用地（Mx）项目。全年助力完成区内50个道路，29个学校，18个医院及社区，24个游园，42个背街小巷，15个房地产开发，2个新增工业和37个光伏的审批。全年累计完成项目立项335个，涉及金额约1071.18亿元，核准15个，涉及金额293.58万元，备案114个，涉及金额669.18亿元，技改备案24个，涉及金额166.52亿元，另完成环评表（报）13项，人防事项81项，施工许可证发放80个，完成质量监督备案73个，安全监督备案77个，建筑工程竣工备案28个，人防竣工备案8个，既有住宅电梯报装28个。</w:t>
      </w:r>
    </w:p>
    <w:p>
      <w:pPr>
        <w:spacing w:line="560" w:lineRule="exact"/>
        <w:rPr>
          <w:rFonts w:ascii="Times New Roman" w:hAnsi="Times New Roman" w:eastAsia="方正楷体_GBK" w:cs="Times New Roman"/>
          <w:b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eastAsia="方正楷体_GBK" w:cs="Times New Roman"/>
          <w:b/>
          <w:sz w:val="32"/>
          <w:szCs w:val="32"/>
        </w:rPr>
        <w:t>（三）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改革创新力度不断加大。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创新设立全市首个“办不成事”反映专窗和全市首个人大代表“联系点”和政协委员“有事好商量”协商议事室。积极融入长三角一体化，加快推进高频政务服务事项“跨省通办”，与安徽省淮南市潘集区签定政务服务“跨省通办”合作协议，确定首批34个跨省通办政务服务事项。开出全市首张“长三角一网通办”营业执照。率先打造江苏首个跨省评标主场，与安徽省淮南市、湖北省十堰市等地开展跨省异地评标活动。</w:t>
      </w:r>
      <w:r>
        <w:rPr>
          <w:rFonts w:ascii="Times New Roman" w:hAnsi="Times New Roman" w:eastAsia="方正仿宋_GBK" w:cs="Times New Roman"/>
          <w:sz w:val="32"/>
          <w:szCs w:val="32"/>
        </w:rPr>
        <w:t>完成江苏政务服务网“梁溪综合服务旗舰店”迭代更新，实行政务服务事项标准化管理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全区共认领6类行政权力事项1108项，认领率71.58%，超省考核65%的标准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各部门公共服务事项共认领306项，各街道公共服务事项共认领902项，同比增长10%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服务指南编制率100%，不见面办理情况97.1%，事项办理时限压缩度89.2%，即办件50.2%，均达到省考核标准。深化政务服务数据共享和应用，完成数据归集1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8.4万余</w:t>
      </w:r>
      <w:r>
        <w:rPr>
          <w:rFonts w:ascii="Times New Roman" w:hAnsi="Times New Roman" w:eastAsia="方正仿宋_GBK" w:cs="Times New Roman"/>
          <w:sz w:val="32"/>
          <w:szCs w:val="32"/>
        </w:rPr>
        <w:t>条，网办率99.5%，与去年相比增长200%以上。</w:t>
      </w:r>
      <w:r>
        <w:rPr>
          <w:rFonts w:ascii="Times New Roman" w:hAnsi="Times New Roman" w:eastAsia="方正仿宋_GBK" w:cs="Times New Roman"/>
          <w:sz w:val="32"/>
        </w:rPr>
        <w:t>全面提高监管行为数据质量，全区报送监管数据信息3386条，覆盖监管数据事项340项，监管事项覆盖率78.34%。</w:t>
      </w:r>
      <w:r>
        <w:rPr>
          <w:rFonts w:ascii="Times New Roman" w:hAnsi="Times New Roman" w:eastAsia="方正仿宋_GBK" w:cs="Times New Roman"/>
          <w:sz w:val="32"/>
          <w:szCs w:val="32"/>
        </w:rPr>
        <w:t>做好全区电子证照应用工作，电子证照已注册35类、汇聚数据28类，汇聚覆盖率80%，电子证照签发量2382个，电子证照应用调用量208次。加快推进“无证件办”，实现系统通、业务通、数据通，政务服务全程电子化办理比例达到 95%以上。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启动</w:t>
      </w:r>
      <w:r>
        <w:rPr>
          <w:rFonts w:ascii="Times New Roman" w:hAnsi="Times New Roman" w:eastAsia="方正仿宋_GBK" w:cs="Times New Roman"/>
          <w:sz w:val="32"/>
          <w:szCs w:val="32"/>
        </w:rPr>
        <w:t>“一件事”改革，我区“开房产中介（300平米以下）”、“开宠物店”、“开美容美发店”、“开文印店”、“开物流公司”、“开月子中心”等6个首批“一件事”已完成赋码工作。</w:t>
      </w:r>
    </w:p>
    <w:p>
      <w:pPr>
        <w:spacing w:line="560" w:lineRule="exact"/>
        <w:ind w:firstLine="640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楷体_GBK" w:cs="Times New Roman"/>
          <w:b/>
          <w:sz w:val="32"/>
          <w:szCs w:val="32"/>
        </w:rPr>
        <w:t>（四）政务服务体系建设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扎实推进。</w:t>
      </w:r>
      <w:r>
        <w:rPr>
          <w:rFonts w:ascii="Times New Roman" w:hAnsi="Times New Roman" w:eastAsia="方正仿宋_GBK" w:cs="Times New Roman"/>
          <w:sz w:val="32"/>
          <w:szCs w:val="32"/>
        </w:rPr>
        <w:t>加快打造三级政务服务体系，通过完善便民服务设施、规范标识指引，主动为老年人、视力残疾人和听力残疾人提供信息无障碍服务，常态化开展文明引导员、志愿服务者导询接待、答疑解惑、疫情防控、车辆引导等工作，区本级政务服务中心、街道为民服务中心和社区便民服务中心的标准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规范化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便利化水平不断提升，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指导建成</w:t>
      </w:r>
      <w:r>
        <w:rPr>
          <w:rFonts w:ascii="Times New Roman" w:hAnsi="Times New Roman" w:eastAsia="方正仿宋_GBK" w:cs="Times New Roman"/>
          <w:sz w:val="32"/>
          <w:szCs w:val="32"/>
        </w:rPr>
        <w:t>了广益、崇安寺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山北三个街道为民服务中心。9个街道157个社区已完成“好差评”系统全覆盖。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医保服务街道实现全覆盖，社区覆盖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达到50%以上。</w:t>
      </w:r>
      <w:r>
        <w:rPr>
          <w:rFonts w:ascii="Times New Roman" w:hAnsi="Times New Roman" w:eastAsia="方正仿宋_GBK" w:cs="Times New Roman"/>
          <w:sz w:val="32"/>
          <w:szCs w:val="32"/>
        </w:rPr>
        <w:t>持续改进窗口服务，为企业群众在办事过程中遇到的各种“急难愁盼”事提供咨询、受理、服务渠道。开展“窗口服务到一线，悉心为民办实事”现场服务活动，零距离为群众宣讲政策、解决问题，让群众在家门口享受到便捷高效的服务。为双方群众和企业提供“就近办”政务服务。</w:t>
      </w:r>
      <w:r>
        <w:rPr>
          <w:rFonts w:ascii="Times New Roman" w:hAnsi="Times New Roman" w:eastAsia="方正仿宋_GBK" w:cs="Times New Roman"/>
          <w:sz w:val="32"/>
        </w:rPr>
        <w:t>区政务服务大厅各窗口全年受理现场办件近40万件，按时办结率达100%，群众满意率99.98%。</w:t>
      </w:r>
    </w:p>
    <w:p>
      <w:pPr>
        <w:spacing w:line="56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eastAsia="方正楷体_GBK" w:cs="Times New Roman"/>
          <w:b/>
          <w:sz w:val="32"/>
          <w:szCs w:val="32"/>
        </w:rPr>
        <w:t>（五）交易平台效能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有力</w:t>
      </w:r>
      <w:r>
        <w:rPr>
          <w:rFonts w:ascii="Times New Roman" w:hAnsi="Times New Roman" w:eastAsia="方正楷体_GBK" w:cs="Times New Roman"/>
          <w:b/>
          <w:sz w:val="32"/>
          <w:szCs w:val="32"/>
        </w:rPr>
        <w:t>提升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不断拓宽“不见面”开标运用广度，建设项目不见面交易155宗，占交易总量的92.81%，不见面开标率同比提升19.95%，水利项目不见面开标率达100%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与阿里拍卖协同构建“梁溪区公有资产数字化交易云平台”，实现了全过程数字化、不见面交易，上线一年来竞买围观量达158904人次，所拍项目有45个产生溢价，平均溢价率18.69%，两个项目达90%以上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在全市率先开展政府集中采购“全流程电子化+云监督”先行先试工作，有19个项目进入“政采云”平台操作。积极尝试跨区域“互联互通”合作新模式，率先打造江苏首个跨省评标主场，与安徽省淮南市、湖北省十堰市等地交易中心连线开展跨省异地评标活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开发启用手机端移动数字证书“标准通”软件，成为全省首批实现公共资源交易跨平台、跨区域数字证书网络共享的三个试点地区之一。全年完成建设项目招投标167宗，交易总额95.98亿元，同比增长75.88%；完成政府集中采购项目40个，中标金额1.77亿元，同比增长105.81%；完成产权交易项目上架标的物704个，成交总额2393.2万元，同比下降45.98%。</w:t>
      </w:r>
    </w:p>
    <w:p>
      <w:pPr>
        <w:spacing w:line="560" w:lineRule="exact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eastAsia="方正楷体_GBK" w:cs="Times New Roman"/>
          <w:b/>
          <w:sz w:val="32"/>
          <w:szCs w:val="32"/>
        </w:rPr>
        <w:t>（六）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队伍建设全面</w:t>
      </w:r>
      <w:r>
        <w:rPr>
          <w:rFonts w:ascii="Times New Roman" w:hAnsi="Times New Roman" w:eastAsia="方正楷体_GBK" w:cs="Times New Roman"/>
          <w:b/>
          <w:sz w:val="32"/>
          <w:szCs w:val="32"/>
        </w:rPr>
        <w:t>加强</w:t>
      </w:r>
      <w:r>
        <w:rPr>
          <w:rFonts w:hint="eastAsia" w:ascii="Times New Roman" w:hAnsi="Times New Roman" w:eastAsia="方正楷体_GBK" w:cs="Times New Roman"/>
          <w:b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坚定不移加强党的领导和全面从严治党，抓牢抓实意识形态工作</w:t>
      </w:r>
      <w:r>
        <w:rPr>
          <w:rFonts w:ascii="Times New Roman" w:hAnsi="Times New Roman" w:eastAsia="方正仿宋_GBK" w:cs="Times New Roman"/>
          <w:sz w:val="32"/>
        </w:rPr>
        <w:t>。扎实开展党史学习教育，党组中心组和党支部严格落实理论学习制度和“三会一课”制度，认真学习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习近平</w:t>
      </w:r>
      <w:r>
        <w:rPr>
          <w:rFonts w:ascii="Times New Roman" w:hAnsi="Times New Roman" w:eastAsia="方正仿宋_GBK" w:cs="Times New Roman"/>
          <w:sz w:val="32"/>
        </w:rPr>
        <w:t>总书记系列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重要</w:t>
      </w:r>
      <w:r>
        <w:rPr>
          <w:rFonts w:ascii="Times New Roman" w:hAnsi="Times New Roman" w:eastAsia="方正仿宋_GBK" w:cs="Times New Roman"/>
          <w:sz w:val="32"/>
        </w:rPr>
        <w:t>讲话精神和指定学习教材，组织开展“传承红色基因，开启奋进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新</w:t>
      </w:r>
      <w:r>
        <w:rPr>
          <w:rFonts w:ascii="Times New Roman" w:hAnsi="Times New Roman" w:eastAsia="方正仿宋_GBK" w:cs="Times New Roman"/>
          <w:sz w:val="32"/>
        </w:rPr>
        <w:t>征程”党史学习教育体验教学活动，参观无锡抗日青年流亡服务团纪念馆和廉政教育示范基地“荣毅仁纪念馆”，开展“薪火相传勇担当、悉心服务创一流”主题党日活动，组织党员及部分党外工作人员参观中国乡镇企业博物馆，体验中国特色社会主义在苏南的生动实践，用“四千四万”精神进一步激发“大干60天，夺取全年红”的奋进力量。公布的“无需见面‘网上办’”、“缩短时间‘迅速办’”、“改革创新‘悉心办’”三个“我为群众办实事”项目全部完成。</w:t>
      </w:r>
      <w:r>
        <w:rPr>
          <w:rFonts w:hint="eastAsia" w:ascii="Times New Roman" w:hAnsi="Times New Roman" w:eastAsia="方正仿宋_GBK" w:cs="Times New Roman"/>
          <w:sz w:val="32"/>
        </w:rPr>
        <w:t>认真抓好疫情防控和安全生产工作。</w:t>
      </w:r>
      <w:r>
        <w:rPr>
          <w:rFonts w:ascii="Times New Roman" w:hAnsi="Times New Roman" w:eastAsia="方正仿宋_GBK" w:cs="Times New Roman"/>
          <w:sz w:val="32"/>
        </w:rPr>
        <w:t>加强机关作风效能和队伍建设，严格落实党风廉政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建设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</w:rPr>
        <w:t>责任制，常态化开展思想汇报和谈心谈话，掌握思想动态，及时发现问题、检视不足、推进整改，</w:t>
      </w:r>
      <w:r>
        <w:rPr>
          <w:rFonts w:ascii="Times New Roman" w:hAnsi="Times New Roman" w:eastAsia="方正仿宋_GBK" w:cs="Times New Roman"/>
          <w:sz w:val="32"/>
          <w:szCs w:val="32"/>
        </w:rPr>
        <w:t>全体党员干部能够严守纪律，保持清正廉洁，经得起组织和各界的监督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结合疫情防控和文明城市创建要求，坚持从企业群众角度出发，在升级硬件、净化环境的同时，不断提升服务“软实力”，制定年度干部培训计划，分阶段分业务组织干部培训，</w:t>
      </w:r>
      <w:r>
        <w:rPr>
          <w:rFonts w:ascii="Times New Roman" w:hAnsi="Times New Roman" w:eastAsia="方正仿宋_GBK" w:cs="Times New Roman"/>
          <w:sz w:val="32"/>
        </w:rPr>
        <w:t>严格落实公务员“月小结、季考核”的平时考核机制，</w:t>
      </w:r>
      <w:r>
        <w:rPr>
          <w:rFonts w:ascii="Times New Roman" w:hAnsi="Times New Roman" w:eastAsia="方正仿宋_GBK" w:cs="Times New Roman"/>
          <w:sz w:val="32"/>
          <w:szCs w:val="32"/>
        </w:rPr>
        <w:t>大力开展争当“为民服务示范窗口”“为民服务先进标兵”和争当“创新示范窗”“服务排头兵”活动，引导窗口和党员干部主动学习、主动担当、主动作为，不断强化服务意识和业务能力，做本职工作的行家里手。建成图书阅览室和健身活动室，进一步增强了干部职工的集体归属感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91573"/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center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7 -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iMTNiNThiYTVlNmZlMDlmYTM2ZWY2ZmJjZDQzOTYifQ=="/>
  </w:docVars>
  <w:rsids>
    <w:rsidRoot w:val="00BF3CEE"/>
    <w:rsid w:val="000045E1"/>
    <w:rsid w:val="00012DDB"/>
    <w:rsid w:val="000331D0"/>
    <w:rsid w:val="00062FFA"/>
    <w:rsid w:val="00064B70"/>
    <w:rsid w:val="000E0B17"/>
    <w:rsid w:val="000F4309"/>
    <w:rsid w:val="00113BA6"/>
    <w:rsid w:val="00134DCF"/>
    <w:rsid w:val="00142C53"/>
    <w:rsid w:val="00153240"/>
    <w:rsid w:val="001A50F3"/>
    <w:rsid w:val="001B62D0"/>
    <w:rsid w:val="001D584F"/>
    <w:rsid w:val="00205FCC"/>
    <w:rsid w:val="002107A6"/>
    <w:rsid w:val="00251A88"/>
    <w:rsid w:val="0025223A"/>
    <w:rsid w:val="0028252E"/>
    <w:rsid w:val="002A0F2C"/>
    <w:rsid w:val="002B7A13"/>
    <w:rsid w:val="002F1867"/>
    <w:rsid w:val="0034420E"/>
    <w:rsid w:val="003A0E3D"/>
    <w:rsid w:val="003A47DF"/>
    <w:rsid w:val="00406A3F"/>
    <w:rsid w:val="004178A9"/>
    <w:rsid w:val="00425F60"/>
    <w:rsid w:val="004352A1"/>
    <w:rsid w:val="004B203F"/>
    <w:rsid w:val="004C7B24"/>
    <w:rsid w:val="004C7D7D"/>
    <w:rsid w:val="004D3F82"/>
    <w:rsid w:val="005044B2"/>
    <w:rsid w:val="00524E4E"/>
    <w:rsid w:val="00553833"/>
    <w:rsid w:val="005628DE"/>
    <w:rsid w:val="00564CA1"/>
    <w:rsid w:val="00572DDA"/>
    <w:rsid w:val="00586090"/>
    <w:rsid w:val="005C7A50"/>
    <w:rsid w:val="005E3D60"/>
    <w:rsid w:val="005E6068"/>
    <w:rsid w:val="00606EAE"/>
    <w:rsid w:val="006C5892"/>
    <w:rsid w:val="006D33A4"/>
    <w:rsid w:val="006E1379"/>
    <w:rsid w:val="006E4011"/>
    <w:rsid w:val="00717D68"/>
    <w:rsid w:val="00755E6A"/>
    <w:rsid w:val="00781003"/>
    <w:rsid w:val="00785DBB"/>
    <w:rsid w:val="007E212D"/>
    <w:rsid w:val="00863278"/>
    <w:rsid w:val="00867769"/>
    <w:rsid w:val="008B64BD"/>
    <w:rsid w:val="00946DF6"/>
    <w:rsid w:val="00957E16"/>
    <w:rsid w:val="00964E8E"/>
    <w:rsid w:val="00984596"/>
    <w:rsid w:val="009B5298"/>
    <w:rsid w:val="009C0B58"/>
    <w:rsid w:val="009D223F"/>
    <w:rsid w:val="00A22C2B"/>
    <w:rsid w:val="00A30595"/>
    <w:rsid w:val="00A816DD"/>
    <w:rsid w:val="00A84CD0"/>
    <w:rsid w:val="00AB4985"/>
    <w:rsid w:val="00AC3565"/>
    <w:rsid w:val="00AD40CD"/>
    <w:rsid w:val="00AE1C2F"/>
    <w:rsid w:val="00AE7BE3"/>
    <w:rsid w:val="00B46A37"/>
    <w:rsid w:val="00B773EA"/>
    <w:rsid w:val="00B93439"/>
    <w:rsid w:val="00BC0ADE"/>
    <w:rsid w:val="00BF3CEE"/>
    <w:rsid w:val="00BF673A"/>
    <w:rsid w:val="00C11E94"/>
    <w:rsid w:val="00C34B6C"/>
    <w:rsid w:val="00C52897"/>
    <w:rsid w:val="00C63771"/>
    <w:rsid w:val="00C76063"/>
    <w:rsid w:val="00CE6A1B"/>
    <w:rsid w:val="00CF6976"/>
    <w:rsid w:val="00D00780"/>
    <w:rsid w:val="00D25DEE"/>
    <w:rsid w:val="00D334DC"/>
    <w:rsid w:val="00D421DD"/>
    <w:rsid w:val="00D6091E"/>
    <w:rsid w:val="00D84BC2"/>
    <w:rsid w:val="00D93681"/>
    <w:rsid w:val="00DA4941"/>
    <w:rsid w:val="00DF4E45"/>
    <w:rsid w:val="00DF74E2"/>
    <w:rsid w:val="00E30496"/>
    <w:rsid w:val="00E3425E"/>
    <w:rsid w:val="00E5660D"/>
    <w:rsid w:val="00E72851"/>
    <w:rsid w:val="00E921F7"/>
    <w:rsid w:val="00EB3ABB"/>
    <w:rsid w:val="00EE38D2"/>
    <w:rsid w:val="00EF1005"/>
    <w:rsid w:val="00F162A8"/>
    <w:rsid w:val="00F85EF9"/>
    <w:rsid w:val="00FB2498"/>
    <w:rsid w:val="00FD395F"/>
    <w:rsid w:val="02380105"/>
    <w:rsid w:val="064008C1"/>
    <w:rsid w:val="06564645"/>
    <w:rsid w:val="0DAE3102"/>
    <w:rsid w:val="0E4B7CDB"/>
    <w:rsid w:val="0E79554D"/>
    <w:rsid w:val="0EB70CA1"/>
    <w:rsid w:val="0FA1275E"/>
    <w:rsid w:val="0FC33C44"/>
    <w:rsid w:val="0FFE370C"/>
    <w:rsid w:val="11FD76F5"/>
    <w:rsid w:val="137A22F0"/>
    <w:rsid w:val="13F8053E"/>
    <w:rsid w:val="188261CE"/>
    <w:rsid w:val="1A2A656E"/>
    <w:rsid w:val="1AE81FA4"/>
    <w:rsid w:val="1B456FD9"/>
    <w:rsid w:val="1C096A1E"/>
    <w:rsid w:val="1C7E47A3"/>
    <w:rsid w:val="1C8C20A0"/>
    <w:rsid w:val="1ECE0B20"/>
    <w:rsid w:val="1F5A7294"/>
    <w:rsid w:val="1FE64833"/>
    <w:rsid w:val="21354AB4"/>
    <w:rsid w:val="21556F04"/>
    <w:rsid w:val="21E32762"/>
    <w:rsid w:val="23181D0B"/>
    <w:rsid w:val="232079E6"/>
    <w:rsid w:val="23711FEF"/>
    <w:rsid w:val="26B4651C"/>
    <w:rsid w:val="270A253F"/>
    <w:rsid w:val="28C91A6E"/>
    <w:rsid w:val="2B057D91"/>
    <w:rsid w:val="2CFC118B"/>
    <w:rsid w:val="2DD218DC"/>
    <w:rsid w:val="320209E2"/>
    <w:rsid w:val="32F533D3"/>
    <w:rsid w:val="331D24EA"/>
    <w:rsid w:val="354A62C8"/>
    <w:rsid w:val="385972FD"/>
    <w:rsid w:val="38EA6674"/>
    <w:rsid w:val="3EF32C4D"/>
    <w:rsid w:val="400D0766"/>
    <w:rsid w:val="46A55988"/>
    <w:rsid w:val="479113CA"/>
    <w:rsid w:val="490E1F0B"/>
    <w:rsid w:val="4BF768BC"/>
    <w:rsid w:val="4C686E93"/>
    <w:rsid w:val="4E411E35"/>
    <w:rsid w:val="4E913EBD"/>
    <w:rsid w:val="4FA008A0"/>
    <w:rsid w:val="5596658A"/>
    <w:rsid w:val="559A3EC4"/>
    <w:rsid w:val="56922874"/>
    <w:rsid w:val="585F06BF"/>
    <w:rsid w:val="58762371"/>
    <w:rsid w:val="58DF1223"/>
    <w:rsid w:val="5A44753A"/>
    <w:rsid w:val="5B403A82"/>
    <w:rsid w:val="5C45759A"/>
    <w:rsid w:val="5CDF5FA9"/>
    <w:rsid w:val="5FFE462F"/>
    <w:rsid w:val="600B4656"/>
    <w:rsid w:val="6212296F"/>
    <w:rsid w:val="62311E7F"/>
    <w:rsid w:val="629404EF"/>
    <w:rsid w:val="650F5D0D"/>
    <w:rsid w:val="66193891"/>
    <w:rsid w:val="66F07D3F"/>
    <w:rsid w:val="6719789F"/>
    <w:rsid w:val="68CD2DF1"/>
    <w:rsid w:val="699115D1"/>
    <w:rsid w:val="6C7C0DB6"/>
    <w:rsid w:val="6F7E1AE1"/>
    <w:rsid w:val="70441BEA"/>
    <w:rsid w:val="70B45467"/>
    <w:rsid w:val="70C44AD9"/>
    <w:rsid w:val="725B3261"/>
    <w:rsid w:val="72D0665E"/>
    <w:rsid w:val="74E66F9F"/>
    <w:rsid w:val="7557416E"/>
    <w:rsid w:val="758570A4"/>
    <w:rsid w:val="76EF6628"/>
    <w:rsid w:val="79195DB7"/>
    <w:rsid w:val="79A11F3A"/>
    <w:rsid w:val="7C6118D6"/>
    <w:rsid w:val="7C6C4117"/>
    <w:rsid w:val="7DC14FAB"/>
    <w:rsid w:val="7E0C7F1A"/>
    <w:rsid w:val="7E2B6198"/>
    <w:rsid w:val="7F160BF6"/>
    <w:rsid w:val="7F9F56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614</Words>
  <Characters>3505</Characters>
  <Lines>29</Lines>
  <Paragraphs>8</Paragraphs>
  <TotalTime>2</TotalTime>
  <ScaleCrop>false</ScaleCrop>
  <LinksUpToDate>false</LinksUpToDate>
  <CharactersWithSpaces>4111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2022-01-27T07:27:00Z</dcterms:created>
  <dc:creator>user</dc:creator>
  <cp:lastModifiedBy>萧萧</cp:lastModifiedBy>
  <cp:lastPrinted>2022-01-17T06:32:00Z</cp:lastPrinted>
  <dcterms:modified xsi:type="dcterms:W3CDTF">2024-04-02T07:05:33Z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B37952DF2D3A4BBEA22E05A0B8D48280</vt:lpwstr>
  </property>
</Properties>
</file>