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无锡市梁溪区司法局2023年工作总结</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梁溪区</w:t>
      </w:r>
      <w:r>
        <w:rPr>
          <w:rFonts w:hint="eastAsia" w:ascii="方正楷体_GBK" w:hAnsi="方正楷体_GBK" w:eastAsia="方正楷体_GBK" w:cs="方正楷体_GBK"/>
          <w:sz w:val="32"/>
          <w:szCs w:val="32"/>
          <w:highlight w:val="none"/>
        </w:rPr>
        <w:t>司法局</w:t>
      </w:r>
    </w:p>
    <w:p>
      <w:pPr>
        <w:keepNext w:val="0"/>
        <w:keepLines w:val="0"/>
        <w:pageBreakBefore w:val="0"/>
        <w:widowControl w:val="0"/>
        <w:kinsoku/>
        <w:wordWrap/>
        <w:overflowPunct/>
        <w:topLinePunct w:val="0"/>
        <w:autoSpaceDE/>
        <w:autoSpaceDN/>
        <w:bidi w:val="0"/>
        <w:adjustRightInd/>
        <w:snapToGrid/>
        <w:spacing w:before="313" w:beforeLines="100" w:line="578" w:lineRule="exact"/>
        <w:ind w:firstLine="640" w:firstLineChars="200"/>
        <w:textAlignment w:val="auto"/>
        <w:rPr>
          <w:rFonts w:hint="default" w:ascii="方正仿宋_GBK" w:hAnsi="方正仿宋_GBK" w:eastAsia="方正仿宋_GBK" w:cs="方正仿宋_GBK"/>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2023年，</w:t>
      </w:r>
      <w:r>
        <w:rPr>
          <w:rFonts w:hint="eastAsia" w:ascii="方正仿宋_GBK" w:hAnsi="方正仿宋_GBK" w:eastAsia="方正仿宋_GBK" w:cs="方正仿宋_GBK"/>
          <w:sz w:val="32"/>
          <w:szCs w:val="32"/>
          <w:highlight w:val="none"/>
          <w:lang w:eastAsia="zh-CN"/>
        </w:rPr>
        <w:t>区司法局聚焦法治建设主线，围绕法治参谋服务主责，突出法治为民主业，锚定安全稳定目标，在优化法治环境、推进依法行政、创新社会治理等方面持续发力，突破重点，攻克难点，创造亮点，</w:t>
      </w:r>
      <w:r>
        <w:rPr>
          <w:rFonts w:hint="eastAsia" w:ascii="方正仿宋_GBK" w:hAnsi="方正仿宋_GBK" w:eastAsia="方正仿宋_GBK" w:cs="方正仿宋_GBK"/>
          <w:sz w:val="32"/>
          <w:szCs w:val="32"/>
          <w:highlight w:val="none"/>
        </w:rPr>
        <w:t>稳步推动全面依法治区和司法行政工作开展。</w:t>
      </w:r>
    </w:p>
    <w:p>
      <w:pPr>
        <w:pStyle w:val="5"/>
        <w:spacing w:line="578" w:lineRule="exact"/>
        <w:ind w:firstLine="640"/>
        <w:jc w:val="both"/>
        <w:rPr>
          <w:rFonts w:ascii="Times New Roman" w:hAnsi="Times New Roman" w:eastAsia="方正仿宋_GBK"/>
          <w:color w:val="000000" w:themeColor="text1"/>
          <w:sz w:val="32"/>
          <w:szCs w:val="32"/>
          <w:highlight w:val="none"/>
          <w14:textFill>
            <w14:solidFill>
              <w14:schemeClr w14:val="tx1"/>
            </w14:solidFill>
          </w14:textFill>
        </w:rPr>
      </w:pP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（一）统筹推进</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依法治区</w:t>
      </w:r>
      <w:r>
        <w:rPr>
          <w:rFonts w:hint="eastAsia" w:ascii="方正楷体_GBK" w:hAnsi="方正楷体_GBK" w:eastAsia="方正楷体_GBK" w:cs="方正楷体_GBK"/>
          <w:color w:val="000000" w:themeColor="text1"/>
          <w:sz w:val="32"/>
          <w:szCs w:val="32"/>
          <w:highlight w:val="none"/>
          <w:lang w:eastAsia="zh-CN"/>
          <w14:textFill>
            <w14:solidFill>
              <w14:schemeClr w14:val="tx1"/>
            </w14:solidFill>
          </w14:textFill>
        </w:rPr>
        <w:t>全力建设法治梁溪</w:t>
      </w:r>
      <w:r>
        <w:rPr>
          <w:rFonts w:hint="eastAsia" w:ascii="方正楷体_GBK" w:hAnsi="方正楷体_GBK" w:eastAsia="方正楷体_GBK" w:cs="方正楷体_GBK"/>
          <w:color w:val="000000" w:themeColor="text1"/>
          <w:sz w:val="32"/>
          <w:szCs w:val="32"/>
          <w:highlight w:val="none"/>
          <w14:textFill>
            <w14:solidFill>
              <w14:schemeClr w14:val="tx1"/>
            </w14:solidFill>
          </w14:textFill>
        </w:rPr>
        <w:t>。</w:t>
      </w:r>
      <w:r>
        <w:rPr>
          <w:rFonts w:ascii="Times New Roman" w:hAnsi="Times New Roman" w:eastAsia="方正仿宋_GBK"/>
          <w:color w:val="000000" w:themeColor="text1"/>
          <w:sz w:val="32"/>
          <w:szCs w:val="32"/>
          <w:highlight w:val="none"/>
          <w14:textFill>
            <w14:solidFill>
              <w14:schemeClr w14:val="tx1"/>
            </w14:solidFill>
          </w14:textFill>
        </w:rPr>
        <w:t>贯彻落实</w:t>
      </w:r>
      <w:r>
        <w:rPr>
          <w:rFonts w:hint="eastAsia" w:ascii="Times New Roman" w:hAnsi="Times New Roman" w:eastAsia="方正仿宋_GBK"/>
          <w:color w:val="000000" w:themeColor="text1"/>
          <w:sz w:val="32"/>
          <w:szCs w:val="32"/>
          <w:highlight w:val="none"/>
          <w14:textFill>
            <w14:solidFill>
              <w14:schemeClr w14:val="tx1"/>
            </w14:solidFill>
          </w14:textFill>
        </w:rPr>
        <w:t>中央对</w:t>
      </w:r>
      <w:r>
        <w:rPr>
          <w:rFonts w:ascii="Times New Roman" w:hAnsi="Times New Roman" w:eastAsia="方正仿宋_GBK"/>
          <w:color w:val="000000" w:themeColor="text1"/>
          <w:sz w:val="32"/>
          <w:szCs w:val="32"/>
          <w:highlight w:val="none"/>
          <w14:textFill>
            <w14:solidFill>
              <w14:schemeClr w14:val="tx1"/>
            </w14:solidFill>
          </w14:textFill>
        </w:rPr>
        <w:t>市县法治建设督察反馈问题整改工作</w:t>
      </w:r>
      <w:r>
        <w:rPr>
          <w:rFonts w:hint="eastAsia" w:ascii="Times New Roman" w:hAnsi="Times New Roman" w:eastAsia="方正仿宋_GBK"/>
          <w:color w:val="000000" w:themeColor="text1"/>
          <w:sz w:val="32"/>
          <w:szCs w:val="32"/>
          <w:highlight w:val="none"/>
          <w14:textFill>
            <w14:solidFill>
              <w14:schemeClr w14:val="tx1"/>
            </w14:solidFill>
          </w14:textFill>
        </w:rPr>
        <w:t>要求</w:t>
      </w:r>
      <w:r>
        <w:rPr>
          <w:rFonts w:ascii="Times New Roman" w:hAnsi="Times New Roman" w:eastAsia="方正仿宋_GBK"/>
          <w:color w:val="000000" w:themeColor="text1"/>
          <w:sz w:val="32"/>
          <w:szCs w:val="32"/>
          <w:highlight w:val="none"/>
          <w14:textFill>
            <w14:solidFill>
              <w14:schemeClr w14:val="tx1"/>
            </w14:solidFill>
          </w14:textFill>
        </w:rPr>
        <w:t>，形成整改任务清单，实行月报制度</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ascii="Times New Roman" w:hAnsi="Times New Roman" w:eastAsia="方正仿宋_GBK"/>
          <w:color w:val="000000" w:themeColor="text1"/>
          <w:sz w:val="32"/>
          <w:szCs w:val="32"/>
          <w:highlight w:val="none"/>
          <w14:textFill>
            <w14:solidFill>
              <w14:schemeClr w14:val="tx1"/>
            </w14:solidFill>
          </w14:textFill>
        </w:rPr>
        <w:t>推动整改提升。召开区委全面依法治区委员会第五次会议和区委全面依法治区委员会办公室会议</w:t>
      </w:r>
      <w:r>
        <w:rPr>
          <w:rFonts w:hint="eastAsia" w:ascii="Times New Roman" w:hAnsi="Times New Roman" w:eastAsia="方正仿宋_GBK"/>
          <w:color w:val="000000" w:themeColor="text1"/>
          <w:sz w:val="32"/>
          <w:szCs w:val="32"/>
          <w:highlight w:val="none"/>
          <w14:textFill>
            <w14:solidFill>
              <w14:schemeClr w14:val="tx1"/>
            </w14:solidFill>
          </w14:textFill>
        </w:rPr>
        <w:t>，</w:t>
      </w:r>
      <w:r>
        <w:rPr>
          <w:rFonts w:ascii="Times New Roman" w:hAnsi="Times New Roman" w:eastAsia="方正仿宋_GBK"/>
          <w:color w:val="000000" w:themeColor="text1"/>
          <w:sz w:val="32"/>
          <w:szCs w:val="32"/>
          <w:highlight w:val="none"/>
          <w14:textFill>
            <w14:solidFill>
              <w14:schemeClr w14:val="tx1"/>
            </w14:solidFill>
          </w14:textFill>
        </w:rPr>
        <w:t>发布</w:t>
      </w:r>
      <w:r>
        <w:rPr>
          <w:rFonts w:hint="eastAsia" w:ascii="Times New Roman" w:hAnsi="Times New Roman" w:eastAsia="方正仿宋_GBK"/>
          <w:color w:val="000000" w:themeColor="text1"/>
          <w:sz w:val="32"/>
          <w:szCs w:val="32"/>
          <w:highlight w:val="none"/>
          <w14:textFill>
            <w14:solidFill>
              <w14:schemeClr w14:val="tx1"/>
            </w14:solidFill>
          </w14:textFill>
        </w:rPr>
        <w:t>《中共梁溪区委全面依法治区委员会2023年工作要点》，部署“双提双评”专项行动。</w:t>
      </w:r>
      <w:r>
        <w:rPr>
          <w:rFonts w:ascii="Times New Roman" w:hAnsi="Times New Roman" w:eastAsia="方正仿宋_GBK"/>
          <w:color w:val="000000" w:themeColor="text1"/>
          <w:sz w:val="32"/>
          <w:szCs w:val="32"/>
          <w:highlight w:val="none"/>
          <w14:textFill>
            <w14:solidFill>
              <w14:schemeClr w14:val="tx1"/>
            </w14:solidFill>
          </w14:textFill>
        </w:rPr>
        <w:t>印发《梁溪区2023年法治政府建设工作计划》，编制《2023年度梁溪区重大行政决策目录》。</w:t>
      </w:r>
      <w:r>
        <w:rPr>
          <w:rFonts w:hint="eastAsia" w:ascii="Times New Roman" w:hAnsi="Times New Roman" w:eastAsia="方正仿宋_GBK"/>
          <w:sz w:val="32"/>
          <w:szCs w:val="32"/>
          <w:highlight w:val="none"/>
        </w:rPr>
        <w:t>组织召开府院联席会议，深化府院良性互动，共同推进法治政府建设。对3个部门和3个街道法治建设“一规划两方案”实施情况开展专项督察，对9个街道法治建设议事协调机构进行排查，明确规范要求。</w:t>
      </w:r>
    </w:p>
    <w:p>
      <w:pPr>
        <w:spacing w:line="578" w:lineRule="exact"/>
        <w:ind w:firstLine="640" w:firstLineChars="200"/>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sz w:val="32"/>
          <w:szCs w:val="32"/>
          <w:highlight w:val="none"/>
        </w:rPr>
        <w:t>（二）</w:t>
      </w:r>
      <w:r>
        <w:rPr>
          <w:rFonts w:hint="eastAsia" w:ascii="方正楷体_GBK" w:hAnsi="方正楷体_GBK" w:eastAsia="方正楷体_GBK" w:cs="方正楷体_GBK"/>
          <w:sz w:val="32"/>
          <w:szCs w:val="32"/>
          <w:highlight w:val="none"/>
          <w:lang w:val="en-US" w:eastAsia="zh-CN"/>
        </w:rPr>
        <w:t>提升服务质量优化法治营商环境</w:t>
      </w:r>
      <w:r>
        <w:rPr>
          <w:rFonts w:hint="default" w:ascii="方正楷体_GBK" w:hAnsi="方正楷体_GBK" w:eastAsia="方正楷体_GBK" w:cs="方正楷体_GBK"/>
          <w:sz w:val="32"/>
          <w:szCs w:val="32"/>
          <w:highlight w:val="none"/>
          <w:lang w:val="en-US" w:eastAsia="zh-CN"/>
        </w:rPr>
        <w:t>。</w:t>
      </w:r>
      <w:r>
        <w:rPr>
          <w:rFonts w:hint="eastAsia" w:ascii="方正仿宋_GBK" w:hAnsi="方正仿宋_GBK" w:eastAsia="方正仿宋_GBK" w:cs="方正仿宋_GBK"/>
          <w:sz w:val="32"/>
          <w:szCs w:val="32"/>
          <w:highlight w:val="none"/>
          <w:lang w:val="en-US" w:eastAsia="zh-CN"/>
        </w:rPr>
        <w:t>全区</w:t>
      </w:r>
      <w:r>
        <w:rPr>
          <w:rFonts w:hint="eastAsia" w:ascii="Times New Roman" w:hAnsi="Times New Roman" w:eastAsia="方正仿宋_GBK" w:cs="Times New Roman"/>
          <w:sz w:val="32"/>
          <w:szCs w:val="32"/>
          <w:highlight w:val="none"/>
          <w:lang w:val="en-US" w:eastAsia="zh-CN"/>
        </w:rPr>
        <w:t>36</w:t>
      </w:r>
      <w:r>
        <w:rPr>
          <w:rFonts w:hint="eastAsia" w:ascii="方正仿宋_GBK" w:hAnsi="方正仿宋_GBK" w:eastAsia="方正仿宋_GBK" w:cs="方正仿宋_GBK"/>
          <w:sz w:val="32"/>
          <w:szCs w:val="32"/>
          <w:highlight w:val="none"/>
          <w:lang w:val="en-US" w:eastAsia="zh-CN"/>
        </w:rPr>
        <w:t>家党政机关中有</w:t>
      </w:r>
      <w:r>
        <w:rPr>
          <w:rFonts w:hint="eastAsia" w:ascii="Times New Roman" w:hAnsi="Times New Roman" w:eastAsia="方正仿宋_GBK" w:cs="Times New Roman"/>
          <w:sz w:val="32"/>
          <w:szCs w:val="32"/>
          <w:highlight w:val="none"/>
          <w:lang w:val="en-US" w:eastAsia="zh-CN"/>
        </w:rPr>
        <w:t>34</w:t>
      </w:r>
      <w:r>
        <w:rPr>
          <w:rFonts w:hint="eastAsia" w:ascii="方正仿宋_GBK" w:hAnsi="方正仿宋_GBK" w:eastAsia="方正仿宋_GBK" w:cs="方正仿宋_GBK"/>
          <w:sz w:val="32"/>
          <w:szCs w:val="32"/>
          <w:highlight w:val="none"/>
          <w:lang w:val="en-US" w:eastAsia="zh-CN"/>
        </w:rPr>
        <w:t>家已完成</w:t>
      </w:r>
      <w:r>
        <w:rPr>
          <w:rFonts w:hint="default" w:ascii="方正仿宋_GBK" w:hAnsi="方正仿宋_GBK" w:eastAsia="方正仿宋_GBK" w:cs="方正仿宋_GBK"/>
          <w:sz w:val="32"/>
          <w:szCs w:val="32"/>
          <w:highlight w:val="none"/>
          <w:lang w:val="en-US" w:eastAsia="zh-CN"/>
        </w:rPr>
        <w:t>公职律师办公室</w:t>
      </w:r>
      <w:r>
        <w:rPr>
          <w:rFonts w:hint="eastAsia" w:ascii="方正仿宋_GBK" w:hAnsi="方正仿宋_GBK" w:eastAsia="方正仿宋_GBK" w:cs="方正仿宋_GBK"/>
          <w:sz w:val="32"/>
          <w:szCs w:val="32"/>
          <w:highlight w:val="none"/>
          <w:lang w:val="en-US" w:eastAsia="zh-CN"/>
        </w:rPr>
        <w:t>设立，还有</w:t>
      </w:r>
      <w:r>
        <w:rPr>
          <w:rFonts w:hint="eastAsia" w:ascii="Times New Roman" w:hAnsi="Times New Roman" w:eastAsia="方正仿宋_GBK" w:cs="Times New Roman"/>
          <w:sz w:val="32"/>
          <w:szCs w:val="32"/>
          <w:highlight w:val="none"/>
          <w:lang w:val="en-US" w:eastAsia="zh-CN"/>
        </w:rPr>
        <w:t>2</w:t>
      </w:r>
      <w:r>
        <w:rPr>
          <w:rFonts w:hint="eastAsia" w:ascii="方正仿宋_GBK" w:hAnsi="方正仿宋_GBK" w:eastAsia="方正仿宋_GBK" w:cs="方正仿宋_GBK"/>
          <w:sz w:val="32"/>
          <w:szCs w:val="32"/>
          <w:highlight w:val="none"/>
          <w:lang w:val="en-US" w:eastAsia="zh-CN"/>
        </w:rPr>
        <w:t>家正在审批中，现有注册</w:t>
      </w:r>
      <w:r>
        <w:rPr>
          <w:rFonts w:hint="default" w:ascii="方正仿宋_GBK" w:hAnsi="方正仿宋_GBK" w:eastAsia="方正仿宋_GBK" w:cs="方正仿宋_GBK"/>
          <w:sz w:val="32"/>
          <w:szCs w:val="32"/>
          <w:highlight w:val="none"/>
          <w:lang w:val="en-US" w:eastAsia="zh-CN"/>
        </w:rPr>
        <w:t>公职律师</w:t>
      </w:r>
      <w:r>
        <w:rPr>
          <w:rFonts w:hint="eastAsia" w:ascii="Times New Roman" w:hAnsi="Times New Roman" w:eastAsia="方正仿宋_GBK" w:cs="Times New Roman"/>
          <w:sz w:val="32"/>
          <w:szCs w:val="32"/>
          <w:highlight w:val="none"/>
          <w:lang w:val="en-US" w:eastAsia="zh-CN"/>
        </w:rPr>
        <w:t>23</w:t>
      </w:r>
      <w:r>
        <w:rPr>
          <w:rFonts w:hint="default" w:ascii="方正仿宋_GBK" w:hAnsi="方正仿宋_GBK" w:eastAsia="方正仿宋_GBK" w:cs="方正仿宋_GBK"/>
          <w:sz w:val="32"/>
          <w:szCs w:val="32"/>
          <w:highlight w:val="none"/>
          <w:lang w:val="en-US" w:eastAsia="zh-CN"/>
        </w:rPr>
        <w:t>名</w:t>
      </w:r>
      <w:r>
        <w:rPr>
          <w:rFonts w:hint="eastAsia" w:ascii="方正仿宋_GBK" w:hAnsi="方正仿宋_GBK" w:eastAsia="方正仿宋_GBK" w:cs="方正仿宋_GBK"/>
          <w:sz w:val="32"/>
          <w:szCs w:val="32"/>
          <w:highlight w:val="none"/>
          <w:lang w:val="en-US" w:eastAsia="zh-CN"/>
        </w:rPr>
        <w:t>，为推进依法行政创造了条件。靠前服务企业，在民营企业和商会设立人民调解组织</w:t>
      </w:r>
      <w:r>
        <w:rPr>
          <w:rFonts w:hint="eastAsia" w:ascii="Times New Roman" w:hAnsi="Times New Roman" w:eastAsia="方正仿宋_GBK" w:cs="Times New Roman"/>
          <w:sz w:val="32"/>
          <w:szCs w:val="32"/>
          <w:highlight w:val="none"/>
          <w:lang w:val="en-US" w:eastAsia="zh-CN"/>
        </w:rPr>
        <w:t>7</w:t>
      </w:r>
      <w:r>
        <w:rPr>
          <w:rFonts w:hint="eastAsia" w:ascii="方正仿宋_GBK" w:hAnsi="方正仿宋_GBK" w:eastAsia="方正仿宋_GBK" w:cs="方正仿宋_GBK"/>
          <w:sz w:val="32"/>
          <w:szCs w:val="32"/>
          <w:highlight w:val="none"/>
          <w:lang w:val="en-US" w:eastAsia="zh-CN"/>
        </w:rPr>
        <w:t>个。深入开展“产业链+法律服务”系列活动，通过法治体检、合规指导等对企业运营过程遇到的困难问题进行诊断整改提升。目前已累计走访企业</w:t>
      </w:r>
      <w:r>
        <w:rPr>
          <w:rFonts w:hint="eastAsia" w:ascii="Times New Roman" w:hAnsi="Times New Roman" w:eastAsia="方正仿宋_GBK" w:cs="Times New Roman"/>
          <w:sz w:val="32"/>
          <w:szCs w:val="32"/>
          <w:highlight w:val="none"/>
          <w:lang w:val="en-US" w:eastAsia="zh-CN"/>
        </w:rPr>
        <w:t>900余</w:t>
      </w:r>
      <w:r>
        <w:rPr>
          <w:rFonts w:hint="eastAsia" w:ascii="方正仿宋_GBK" w:hAnsi="方正仿宋_GBK" w:eastAsia="方正仿宋_GBK" w:cs="方正仿宋_GBK"/>
          <w:sz w:val="32"/>
          <w:szCs w:val="32"/>
          <w:highlight w:val="none"/>
          <w:lang w:val="en-US" w:eastAsia="zh-CN"/>
        </w:rPr>
        <w:t>家，帮助企业梳理经营管理中存在的各类法律问题</w:t>
      </w:r>
      <w:r>
        <w:rPr>
          <w:rFonts w:hint="eastAsia" w:ascii="Times New Roman" w:hAnsi="Times New Roman" w:eastAsia="方正仿宋_GBK" w:cs="Times New Roman"/>
          <w:sz w:val="32"/>
          <w:szCs w:val="32"/>
          <w:highlight w:val="none"/>
          <w:lang w:val="en-US" w:eastAsia="zh-CN"/>
        </w:rPr>
        <w:t>72</w:t>
      </w:r>
      <w:r>
        <w:rPr>
          <w:rFonts w:hint="eastAsia" w:ascii="方正仿宋_GBK" w:hAnsi="方正仿宋_GBK" w:eastAsia="方正仿宋_GBK" w:cs="方正仿宋_GBK"/>
          <w:sz w:val="32"/>
          <w:szCs w:val="32"/>
          <w:highlight w:val="none"/>
          <w:lang w:val="en-US" w:eastAsia="zh-CN"/>
        </w:rPr>
        <w:t>个，提出解决建议和措施</w:t>
      </w:r>
      <w:r>
        <w:rPr>
          <w:rFonts w:hint="eastAsia" w:ascii="Times New Roman" w:hAnsi="Times New Roman" w:eastAsia="方正仿宋_GBK" w:cs="Times New Roman"/>
          <w:sz w:val="32"/>
          <w:szCs w:val="32"/>
          <w:highlight w:val="none"/>
          <w:lang w:val="en-US" w:eastAsia="zh-CN"/>
        </w:rPr>
        <w:t>83</w:t>
      </w:r>
      <w:r>
        <w:rPr>
          <w:rFonts w:hint="eastAsia" w:ascii="方正仿宋_GBK" w:hAnsi="方正仿宋_GBK" w:eastAsia="方正仿宋_GBK" w:cs="方正仿宋_GBK"/>
          <w:sz w:val="32"/>
          <w:szCs w:val="32"/>
          <w:highlight w:val="none"/>
          <w:lang w:val="en-US" w:eastAsia="zh-CN"/>
        </w:rPr>
        <w:t>条。规范政企合同协议审查，</w:t>
      </w:r>
      <w:r>
        <w:rPr>
          <w:rFonts w:hint="default" w:ascii="方正仿宋_GBK" w:hAnsi="方正仿宋_GBK" w:eastAsia="方正仿宋_GBK" w:cs="方正仿宋_GBK"/>
          <w:sz w:val="32"/>
          <w:szCs w:val="32"/>
          <w:highlight w:val="none"/>
          <w:lang w:val="en-US" w:eastAsia="zh-CN"/>
        </w:rPr>
        <w:t>实行“起草+</w:t>
      </w:r>
      <w:r>
        <w:rPr>
          <w:rFonts w:hint="eastAsia" w:ascii="方正仿宋_GBK" w:hAnsi="方正仿宋_GBK" w:eastAsia="方正仿宋_GBK" w:cs="方正仿宋_GBK"/>
          <w:sz w:val="32"/>
          <w:szCs w:val="32"/>
          <w:highlight w:val="none"/>
          <w:lang w:val="en-US" w:eastAsia="zh-CN"/>
        </w:rPr>
        <w:t>审查</w:t>
      </w:r>
      <w:r>
        <w:rPr>
          <w:rFonts w:hint="default" w:ascii="方正仿宋_GBK" w:hAnsi="方正仿宋_GBK" w:eastAsia="方正仿宋_GBK" w:cs="方正仿宋_GBK"/>
          <w:sz w:val="32"/>
          <w:szCs w:val="32"/>
          <w:highlight w:val="none"/>
          <w:lang w:val="en-US" w:eastAsia="zh-CN"/>
        </w:rPr>
        <w:t>”双审机制，</w:t>
      </w:r>
      <w:r>
        <w:rPr>
          <w:rFonts w:hint="eastAsia" w:ascii="方正仿宋_GBK" w:hAnsi="方正仿宋_GBK" w:eastAsia="方正仿宋_GBK" w:cs="方正仿宋_GBK"/>
          <w:sz w:val="32"/>
          <w:szCs w:val="32"/>
          <w:highlight w:val="none"/>
          <w:lang w:val="en-US" w:eastAsia="zh-CN"/>
        </w:rPr>
        <w:t>服务全区</w:t>
      </w:r>
      <w:r>
        <w:rPr>
          <w:rFonts w:hint="eastAsia"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lang w:val="en-US" w:eastAsia="zh-CN"/>
        </w:rPr>
        <w:t>345</w:t>
      </w:r>
      <w:r>
        <w:rPr>
          <w:rFonts w:hint="eastAsia" w:ascii="Times New Roman" w:hAnsi="Times New Roman" w:eastAsia="方正仿宋_GBK" w:cs="Times New Roman"/>
          <w:sz w:val="32"/>
          <w:szCs w:val="32"/>
          <w:highlight w:val="none"/>
          <w:lang w:val="en-US" w:eastAsia="zh-CN"/>
        </w:rPr>
        <w:t>”</w:t>
      </w:r>
      <w:r>
        <w:rPr>
          <w:rFonts w:hint="default" w:ascii="方正仿宋_GBK" w:hAnsi="方正仿宋_GBK" w:eastAsia="方正仿宋_GBK" w:cs="方正仿宋_GBK"/>
          <w:sz w:val="32"/>
          <w:szCs w:val="32"/>
          <w:highlight w:val="none"/>
          <w:lang w:val="en-US" w:eastAsia="zh-CN"/>
        </w:rPr>
        <w:t>产业</w:t>
      </w:r>
      <w:r>
        <w:rPr>
          <w:rFonts w:hint="eastAsia" w:ascii="方正仿宋_GBK" w:hAnsi="方正仿宋_GBK" w:eastAsia="方正仿宋_GBK" w:cs="方正仿宋_GBK"/>
          <w:sz w:val="32"/>
          <w:szCs w:val="32"/>
          <w:highlight w:val="none"/>
          <w:lang w:val="en-US" w:eastAsia="zh-CN"/>
        </w:rPr>
        <w:t>集群建设。</w:t>
      </w:r>
      <w:r>
        <w:rPr>
          <w:rFonts w:ascii="Times New Roman" w:hAnsi="Times New Roman" w:eastAsia="方正仿宋_GBK"/>
          <w:color w:val="000000" w:themeColor="text1"/>
          <w:sz w:val="32"/>
          <w:szCs w:val="32"/>
          <w:highlight w:val="none"/>
          <w14:textFill>
            <w14:solidFill>
              <w14:schemeClr w14:val="tx1"/>
            </w14:solidFill>
          </w14:textFill>
        </w:rPr>
        <w:t>办理合法性审核</w:t>
      </w:r>
      <w:r>
        <w:rPr>
          <w:rFonts w:hint="eastAsia" w:ascii="Times New Roman" w:hAnsi="Times New Roman" w:eastAsia="方正仿宋_GBK" w:cs="Times New Roman"/>
          <w:sz w:val="32"/>
          <w:szCs w:val="32"/>
          <w:highlight w:val="none"/>
          <w:lang w:val="en-US" w:eastAsia="zh-CN"/>
        </w:rPr>
        <w:t>70</w:t>
      </w:r>
      <w:r>
        <w:rPr>
          <w:rFonts w:ascii="方正仿宋_GBK" w:hAnsi="方正仿宋_GBK" w:eastAsia="方正仿宋_GBK" w:cs="方正仿宋_GBK"/>
          <w:sz w:val="32"/>
          <w:szCs w:val="32"/>
          <w:highlight w:val="none"/>
        </w:rPr>
        <w:t>件</w:t>
      </w:r>
      <w:r>
        <w:rPr>
          <w:rFonts w:hint="eastAsia" w:ascii="方正仿宋_GBK" w:hAnsi="方正仿宋_GBK" w:eastAsia="方正仿宋_GBK" w:cs="方正仿宋_GBK"/>
          <w:sz w:val="32"/>
          <w:szCs w:val="32"/>
          <w:highlight w:val="none"/>
        </w:rPr>
        <w:t>，对全区</w:t>
      </w:r>
      <w:r>
        <w:rPr>
          <w:rFonts w:hint="eastAsia" w:ascii="方正仿宋_GBK" w:hAnsi="方正仿宋_GBK" w:eastAsia="方正仿宋_GBK" w:cs="方正仿宋_GBK"/>
          <w:sz w:val="32"/>
          <w:szCs w:val="32"/>
          <w:highlight w:val="none"/>
          <w:lang w:val="en-US" w:eastAsia="zh-CN"/>
        </w:rPr>
        <w:t>各级行政机关制定的12件现行有效的政策性文件开展清理工作。二季度获得区委区政府季季评“真抓实干奖”。</w:t>
      </w:r>
    </w:p>
    <w:p>
      <w:pPr>
        <w:spacing w:line="578" w:lineRule="exact"/>
        <w:ind w:firstLine="640" w:firstLineChars="200"/>
        <w:rPr>
          <w:rFonts w:ascii="方正仿宋_GBK" w:hAnsi="方正仿宋_GBK" w:eastAsia="方正仿宋_GBK" w:cs="方正仿宋_GBK"/>
          <w:b w:val="0"/>
          <w:bCs w:val="0"/>
          <w:sz w:val="32"/>
          <w:szCs w:val="32"/>
          <w:highlight w:val="none"/>
        </w:rPr>
      </w:pPr>
      <w:r>
        <w:rPr>
          <w:rFonts w:hint="eastAsia" w:ascii="方正楷体_GBK" w:hAnsi="方正楷体_GBK" w:eastAsia="方正楷体_GBK" w:cs="方正楷体_GBK"/>
          <w:sz w:val="32"/>
          <w:szCs w:val="32"/>
          <w:highlight w:val="none"/>
        </w:rPr>
        <w:t>（</w:t>
      </w:r>
      <w:r>
        <w:rPr>
          <w:rFonts w:hint="eastAsia" w:ascii="方正楷体_GBK" w:hAnsi="方正楷体_GBK" w:eastAsia="方正楷体_GBK" w:cs="方正楷体_GBK"/>
          <w:sz w:val="32"/>
          <w:szCs w:val="32"/>
          <w:highlight w:val="none"/>
          <w:lang w:val="en-US" w:eastAsia="zh-CN"/>
        </w:rPr>
        <w:t>三</w:t>
      </w:r>
      <w:r>
        <w:rPr>
          <w:rFonts w:hint="eastAsia" w:ascii="方正楷体_GBK" w:hAnsi="方正楷体_GBK" w:eastAsia="方正楷体_GBK" w:cs="方正楷体_GBK"/>
          <w:sz w:val="32"/>
          <w:szCs w:val="32"/>
          <w:highlight w:val="none"/>
        </w:rPr>
        <w:t>）践行“枫桥经验”大力推动矛盾纠纷化解</w:t>
      </w:r>
      <w:r>
        <w:rPr>
          <w:rFonts w:ascii="方正楷体_GBK" w:hAnsi="方正楷体_GBK" w:eastAsia="方正楷体_GBK" w:cs="方正楷体_GBK"/>
          <w:sz w:val="32"/>
          <w:szCs w:val="32"/>
          <w:highlight w:val="none"/>
        </w:rPr>
        <w:t>。</w:t>
      </w:r>
      <w:r>
        <w:rPr>
          <w:rFonts w:hint="eastAsia" w:ascii="方正仿宋_GBK" w:hAnsi="方正仿宋_GBK" w:eastAsia="方正仿宋_GBK" w:cs="方正仿宋_GBK"/>
          <w:sz w:val="32"/>
          <w:szCs w:val="32"/>
          <w:highlight w:val="none"/>
        </w:rPr>
        <w:t>将人民调解融入区矛盾调处中心，建成民事、商事、家事、行政</w:t>
      </w:r>
      <w:r>
        <w:rPr>
          <w:rFonts w:hint="eastAsia" w:ascii="Times New Roman" w:hAnsi="Times New Roman" w:eastAsia="方正仿宋_GBK" w:cs="Times New Roman"/>
          <w:sz w:val="32"/>
          <w:szCs w:val="32"/>
          <w:highlight w:val="none"/>
        </w:rPr>
        <w:t>4</w:t>
      </w:r>
      <w:r>
        <w:rPr>
          <w:rFonts w:hint="eastAsia" w:ascii="方正仿宋_GBK" w:hAnsi="方正仿宋_GBK" w:eastAsia="方正仿宋_GBK" w:cs="方正仿宋_GBK"/>
          <w:sz w:val="32"/>
          <w:szCs w:val="32"/>
          <w:highlight w:val="none"/>
        </w:rPr>
        <w:t>个特色调解工作室，形成“前店后厂”调解模式。关于践行和发展“枫桥经验”的两篇调研报告分别被司法部《司法所工作》《法治江苏》刊发，《践行新时代“枫桥经验”助力基层依法治理》在新华日报、江苏先锋等主流媒体上发表，报送的两个矛盾纠纷调解案例分别被司法部和全国案例库录用，同时涌</w:t>
      </w:r>
      <w:r>
        <w:rPr>
          <w:rFonts w:hint="eastAsia" w:ascii="方正仿宋_GBK" w:hAnsi="方正仿宋_GBK" w:eastAsia="方正仿宋_GBK" w:cs="方正仿宋_GBK"/>
          <w:b w:val="0"/>
          <w:bCs w:val="0"/>
          <w:sz w:val="32"/>
          <w:szCs w:val="32"/>
          <w:highlight w:val="none"/>
        </w:rPr>
        <w:t>现出了以</w:t>
      </w:r>
      <w:r>
        <w:rPr>
          <w:rFonts w:hint="eastAsia" w:ascii="方正仿宋_GBK" w:hAnsi="方正仿宋_GBK" w:eastAsia="方正仿宋_GBK" w:cs="方正仿宋_GBK"/>
          <w:sz w:val="32"/>
          <w:szCs w:val="32"/>
          <w:highlight w:val="none"/>
        </w:rPr>
        <w:t>“全国模范人民调解员”张建强为</w:t>
      </w:r>
      <w:r>
        <w:rPr>
          <w:rFonts w:hint="eastAsia" w:ascii="方正仿宋_GBK" w:hAnsi="方正仿宋_GBK" w:eastAsia="方正仿宋_GBK" w:cs="方正仿宋_GBK"/>
          <w:b w:val="0"/>
          <w:bCs w:val="0"/>
          <w:sz w:val="32"/>
          <w:szCs w:val="32"/>
          <w:highlight w:val="none"/>
        </w:rPr>
        <w:t>代表的一批优秀调解员。</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方正楷体_GBK" w:hAnsi="方正楷体_GBK" w:eastAsia="方正楷体_GBK" w:cs="方正楷体_GBK"/>
          <w:b w:val="0"/>
          <w:bCs w:val="0"/>
          <w:sz w:val="32"/>
          <w:szCs w:val="32"/>
          <w:highlight w:val="none"/>
          <w:lang w:val="en-US" w:eastAsia="zh-CN"/>
        </w:rPr>
        <w:t>（四）积极履职尽责努力维护社会稳定。</w:t>
      </w:r>
      <w:r>
        <w:rPr>
          <w:rFonts w:hint="eastAsia" w:ascii="方正仿宋_GBK" w:hAnsi="方正仿宋_GBK" w:eastAsia="方正仿宋_GBK" w:cs="方正仿宋_GBK"/>
          <w:b w:val="0"/>
          <w:bCs w:val="0"/>
          <w:sz w:val="32"/>
          <w:szCs w:val="32"/>
          <w:highlight w:val="none"/>
          <w:lang w:eastAsia="zh-CN"/>
        </w:rPr>
        <w:t>依托新业态人群党群服务站“梁蜂驿站”，建成新业态劳动者法律援助联络点，</w:t>
      </w:r>
      <w:r>
        <w:rPr>
          <w:rFonts w:hint="eastAsia" w:ascii="方正仿宋_GBK" w:hAnsi="方正仿宋_GBK" w:eastAsia="方正仿宋_GBK" w:cs="方正仿宋_GBK"/>
          <w:sz w:val="32"/>
          <w:szCs w:val="32"/>
          <w:highlight w:val="none"/>
          <w:lang w:eastAsia="zh-CN"/>
        </w:rPr>
        <w:t>为快递小哥、外卖骑手等新业态劳动者提供嵌入式公共法律服务</w:t>
      </w:r>
      <w:r>
        <w:rPr>
          <w:rFonts w:hint="eastAsia" w:ascii="方正仿宋_GBK" w:hAnsi="方正仿宋_GBK" w:eastAsia="方正仿宋_GBK" w:cs="方正仿宋_GBK"/>
          <w:sz w:val="32"/>
          <w:szCs w:val="32"/>
          <w:highlight w:val="none"/>
          <w:lang w:val="en-US" w:eastAsia="zh-CN"/>
        </w:rPr>
        <w:t>。</w:t>
      </w:r>
      <w:r>
        <w:rPr>
          <w:rFonts w:hint="eastAsia" w:ascii="方正仿宋_GBK" w:hAnsi="方正仿宋_GBK" w:eastAsia="方正仿宋_GBK" w:cs="方正仿宋_GBK"/>
          <w:sz w:val="32"/>
          <w:szCs w:val="32"/>
          <w:highlight w:val="none"/>
          <w:lang w:eastAsia="zh-CN"/>
        </w:rPr>
        <w:t>精心组织</w:t>
      </w:r>
      <w:r>
        <w:rPr>
          <w:rFonts w:hint="eastAsia" w:ascii="Times New Roman" w:hAnsi="Times New Roman" w:eastAsia="方正仿宋_GBK" w:cs="Times New Roman"/>
          <w:kern w:val="2"/>
          <w:sz w:val="32"/>
          <w:szCs w:val="32"/>
          <w:highlight w:val="none"/>
          <w:lang w:val="en-US" w:eastAsia="zh-CN" w:bidi="ar-SA"/>
        </w:rPr>
        <w:t>开展“法润无锡·典进万家”等</w:t>
      </w:r>
      <w:r>
        <w:rPr>
          <w:rFonts w:hint="eastAsia" w:ascii="方正仿宋_GBK" w:hAnsi="方正仿宋_GBK" w:eastAsia="方正仿宋_GBK" w:cs="方正仿宋_GBK"/>
          <w:sz w:val="32"/>
          <w:szCs w:val="32"/>
          <w:highlight w:val="none"/>
          <w:lang w:eastAsia="zh-CN"/>
        </w:rPr>
        <w:t>普法活动，结合特殊时间节点开展普法宣讲、法治文艺演出、法治电影展映等“四个一百”普法活动，营造遵法学法守法用法的浓厚氛围，引导群众通过合法手段维护自身权益。大力推进社区法治建设，</w:t>
      </w:r>
      <w:r>
        <w:rPr>
          <w:rFonts w:hint="eastAsia" w:ascii="方正仿宋_GBK" w:hAnsi="方正仿宋_GBK" w:eastAsia="方正仿宋_GBK" w:cs="方正仿宋_GBK"/>
          <w:sz w:val="32"/>
          <w:szCs w:val="32"/>
          <w:highlight w:val="none"/>
          <w:lang w:val="en-US" w:eastAsia="zh-CN"/>
        </w:rPr>
        <w:t>全区已有“法律明白人</w:t>
      </w:r>
      <w:r>
        <w:rPr>
          <w:rFonts w:hint="default" w:ascii="Times New Roman" w:hAnsi="Times New Roman" w:eastAsia="方正仿宋_GBK" w:cs="Times New Roman"/>
          <w:sz w:val="32"/>
          <w:szCs w:val="32"/>
          <w:highlight w:val="none"/>
          <w:lang w:val="en-US" w:eastAsia="zh-CN"/>
        </w:rPr>
        <w:t>”1604人，“民主法治社区”已达68个</w:t>
      </w:r>
      <w:r>
        <w:rPr>
          <w:rFonts w:hint="eastAsia" w:ascii="方正仿宋_GBK" w:hAnsi="方正仿宋_GBK" w:eastAsia="方正仿宋_GBK" w:cs="方正仿宋_GBK"/>
          <w:sz w:val="32"/>
          <w:szCs w:val="32"/>
          <w:highlight w:val="none"/>
          <w:lang w:val="en-US" w:eastAsia="zh-CN"/>
        </w:rPr>
        <w:t>。</w:t>
      </w:r>
    </w:p>
    <w:p>
      <w:pPr>
        <w:spacing w:line="578" w:lineRule="exact"/>
        <w:ind w:firstLine="640" w:firstLineChars="200"/>
        <w:rPr>
          <w:rFonts w:ascii="Times New Roman" w:hAnsi="Times New Roman" w:eastAsia="方正仿宋_GBK" w:cs="Times New Roman"/>
          <w:sz w:val="32"/>
          <w:szCs w:val="32"/>
          <w:highlight w:val="none"/>
        </w:rPr>
      </w:pPr>
      <w:r>
        <w:rPr>
          <w:rFonts w:hint="eastAsia" w:ascii="方正楷体_GBK" w:hAnsi="方正楷体_GBK" w:eastAsia="方正楷体_GBK" w:cs="方正楷体_GBK"/>
          <w:sz w:val="32"/>
          <w:szCs w:val="32"/>
          <w:highlight w:val="none"/>
        </w:rPr>
        <w:t>（</w:t>
      </w:r>
      <w:r>
        <w:rPr>
          <w:rFonts w:hint="eastAsia" w:ascii="方正楷体_GBK" w:hAnsi="方正楷体_GBK" w:eastAsia="方正楷体_GBK" w:cs="方正楷体_GBK"/>
          <w:sz w:val="32"/>
          <w:szCs w:val="32"/>
          <w:highlight w:val="none"/>
          <w:lang w:val="en-US" w:eastAsia="zh-CN"/>
        </w:rPr>
        <w:t>五</w:t>
      </w:r>
      <w:r>
        <w:rPr>
          <w:rFonts w:hint="eastAsia" w:ascii="方正楷体_GBK" w:hAnsi="方正楷体_GBK" w:eastAsia="方正楷体_GBK" w:cs="方正楷体_GBK"/>
          <w:sz w:val="32"/>
          <w:szCs w:val="32"/>
          <w:highlight w:val="none"/>
        </w:rPr>
        <w:t>）多措并举推进行政执法规范化建设。</w:t>
      </w:r>
      <w:r>
        <w:rPr>
          <w:rFonts w:hint="eastAsia" w:ascii="Times New Roman" w:hAnsi="Times New Roman" w:eastAsia="方正仿宋_GBK" w:cs="Times New Roman"/>
          <w:sz w:val="32"/>
          <w:szCs w:val="32"/>
          <w:highlight w:val="none"/>
        </w:rPr>
        <w:t>结合“作风建设提升年”活动，将行政执法队伍教育提升和行政执法领域改革相结合，推动综合行政执法力量下沉工作相关文件机制的出台和完善，编印行政执法规范汇编，组织全区14支行政执法队伍开展查纠整改，并实现实地检查全覆盖。聚焦理论规范和基层实务，依托</w:t>
      </w:r>
      <w:r>
        <w:rPr>
          <w:rFonts w:hint="eastAsia" w:ascii="Times New Roman" w:hAnsi="Times New Roman" w:eastAsia="方正仿宋_GBK" w:cs="Times New Roman"/>
          <w:sz w:val="32"/>
          <w:szCs w:val="32"/>
          <w:highlight w:val="none"/>
          <w:lang w:eastAsia="zh-CN"/>
        </w:rPr>
        <w:t>高校</w:t>
      </w:r>
      <w:r>
        <w:rPr>
          <w:rFonts w:hint="eastAsia" w:ascii="Times New Roman" w:hAnsi="Times New Roman" w:eastAsia="方正仿宋_GBK" w:cs="Times New Roman"/>
          <w:sz w:val="32"/>
          <w:szCs w:val="32"/>
          <w:highlight w:val="none"/>
        </w:rPr>
        <w:t>专业资源，组织全区行政执法业务骨干赴江苏大学进行脱产培训，提升行政执法人员素能和水平。组织开展行政执法案卷集中评查，及时反馈评查中发现的问题</w:t>
      </w:r>
      <w:bookmarkStart w:id="0" w:name="_GoBack"/>
      <w:bookmarkEnd w:id="0"/>
      <w:r>
        <w:rPr>
          <w:rFonts w:hint="eastAsia" w:ascii="Times New Roman" w:hAnsi="Times New Roman" w:eastAsia="方正仿宋_GBK"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2024年，</w:t>
      </w:r>
      <w:r>
        <w:rPr>
          <w:rFonts w:hint="eastAsia" w:ascii="方正仿宋_GBK" w:hAnsi="方正仿宋_GBK" w:eastAsia="方正仿宋_GBK" w:cs="方正仿宋_GBK"/>
          <w:sz w:val="32"/>
          <w:szCs w:val="32"/>
          <w:highlight w:val="none"/>
          <w:lang w:val="en-US" w:eastAsia="zh-CN"/>
        </w:rPr>
        <w:t>司法局将坚持用习近平新时代中国特色社会主义思想凝心铸魂，深入学习贯彻习近平法治思想，全面学习宣传贯彻落实党的二十大精神，坚定拥护“两个确立”、坚决做到“两个维护”，充分发挥职能作用，高质量做好依法治区、行政执法监督、公共法律服务、矛盾纠纷化解等工作，不断满足人民日益增长的法治需求，为精彩城区、魅力梁溪建设贡献司法行政力量。</w:t>
      </w:r>
    </w:p>
    <w:sectPr>
      <w:footerReference r:id="rId3" w:type="default"/>
      <w:pgSz w:w="11906" w:h="16838"/>
      <w:pgMar w:top="2098" w:right="1361" w:bottom="198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53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pPr>
                      <w:pStyle w:val="7"/>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eastAsia="zh-CN"/>
                      </w:rPr>
                      <w:t>—</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081CB5"/>
    <w:multiLevelType w:val="singleLevel"/>
    <w:tmpl w:val="33081CB5"/>
    <w:lvl w:ilvl="0" w:tentative="0">
      <w:start w:val="1"/>
      <w:numFmt w:val="bullet"/>
      <w:pStyle w:val="6"/>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NzdmZDgwMWE0YzQyMDFmMzYxNTY2Y2Y5ZGZlMzUifQ=="/>
  </w:docVars>
  <w:rsids>
    <w:rsidRoot w:val="00C600FD"/>
    <w:rsid w:val="000015AE"/>
    <w:rsid w:val="000162BD"/>
    <w:rsid w:val="00020674"/>
    <w:rsid w:val="00022DD7"/>
    <w:rsid w:val="00071570"/>
    <w:rsid w:val="00076EE5"/>
    <w:rsid w:val="000E144C"/>
    <w:rsid w:val="000E177F"/>
    <w:rsid w:val="001E083A"/>
    <w:rsid w:val="00250947"/>
    <w:rsid w:val="00276CF9"/>
    <w:rsid w:val="00285966"/>
    <w:rsid w:val="00307A7E"/>
    <w:rsid w:val="003440A2"/>
    <w:rsid w:val="00484E74"/>
    <w:rsid w:val="00485657"/>
    <w:rsid w:val="00521B6E"/>
    <w:rsid w:val="0053419E"/>
    <w:rsid w:val="00560C85"/>
    <w:rsid w:val="005655B7"/>
    <w:rsid w:val="005A1DD1"/>
    <w:rsid w:val="00602FF0"/>
    <w:rsid w:val="00641D50"/>
    <w:rsid w:val="006722BE"/>
    <w:rsid w:val="006A10A6"/>
    <w:rsid w:val="00707CC8"/>
    <w:rsid w:val="00714ECC"/>
    <w:rsid w:val="0078209C"/>
    <w:rsid w:val="007F0B5A"/>
    <w:rsid w:val="008329EF"/>
    <w:rsid w:val="008526B7"/>
    <w:rsid w:val="008D24F4"/>
    <w:rsid w:val="008D7598"/>
    <w:rsid w:val="008F16CA"/>
    <w:rsid w:val="009162C0"/>
    <w:rsid w:val="00976692"/>
    <w:rsid w:val="009A5111"/>
    <w:rsid w:val="009D326A"/>
    <w:rsid w:val="00A34FF3"/>
    <w:rsid w:val="00A5485B"/>
    <w:rsid w:val="00B33DA8"/>
    <w:rsid w:val="00B87B8D"/>
    <w:rsid w:val="00C600FD"/>
    <w:rsid w:val="00CD567B"/>
    <w:rsid w:val="00D05D86"/>
    <w:rsid w:val="00D73717"/>
    <w:rsid w:val="00DE29A5"/>
    <w:rsid w:val="00E254E1"/>
    <w:rsid w:val="00E8192C"/>
    <w:rsid w:val="00E84C6C"/>
    <w:rsid w:val="00EE4107"/>
    <w:rsid w:val="00F1024B"/>
    <w:rsid w:val="00FA4878"/>
    <w:rsid w:val="00FC431A"/>
    <w:rsid w:val="00FD308C"/>
    <w:rsid w:val="0183453D"/>
    <w:rsid w:val="01DB3D9A"/>
    <w:rsid w:val="023D46EC"/>
    <w:rsid w:val="025D6C0B"/>
    <w:rsid w:val="02A1133B"/>
    <w:rsid w:val="02B7449E"/>
    <w:rsid w:val="043B10FF"/>
    <w:rsid w:val="046C1CAD"/>
    <w:rsid w:val="05515B0A"/>
    <w:rsid w:val="06ED35DC"/>
    <w:rsid w:val="072D2F81"/>
    <w:rsid w:val="07846A86"/>
    <w:rsid w:val="07910015"/>
    <w:rsid w:val="08FD364D"/>
    <w:rsid w:val="09030517"/>
    <w:rsid w:val="09613130"/>
    <w:rsid w:val="09B83D51"/>
    <w:rsid w:val="09D20202"/>
    <w:rsid w:val="0A1C2118"/>
    <w:rsid w:val="0A7D76F9"/>
    <w:rsid w:val="0BBE18EB"/>
    <w:rsid w:val="0BCA3494"/>
    <w:rsid w:val="0CE00A95"/>
    <w:rsid w:val="0D95362E"/>
    <w:rsid w:val="0DA918DD"/>
    <w:rsid w:val="0DDE77AF"/>
    <w:rsid w:val="0E511C4A"/>
    <w:rsid w:val="0F166C74"/>
    <w:rsid w:val="0F8A25ED"/>
    <w:rsid w:val="0FE60171"/>
    <w:rsid w:val="10466E61"/>
    <w:rsid w:val="107A6B0B"/>
    <w:rsid w:val="10E75B16"/>
    <w:rsid w:val="11131439"/>
    <w:rsid w:val="11603F53"/>
    <w:rsid w:val="11C36C1D"/>
    <w:rsid w:val="12952CEF"/>
    <w:rsid w:val="13246F51"/>
    <w:rsid w:val="1461070D"/>
    <w:rsid w:val="17EC0389"/>
    <w:rsid w:val="18005E84"/>
    <w:rsid w:val="18AC5CCF"/>
    <w:rsid w:val="18B613D9"/>
    <w:rsid w:val="18E57814"/>
    <w:rsid w:val="19265A82"/>
    <w:rsid w:val="1A294B27"/>
    <w:rsid w:val="1A6E3163"/>
    <w:rsid w:val="1AC92B69"/>
    <w:rsid w:val="1AD25A53"/>
    <w:rsid w:val="1BBB6955"/>
    <w:rsid w:val="1C247518"/>
    <w:rsid w:val="1CBD2937"/>
    <w:rsid w:val="1D1B6401"/>
    <w:rsid w:val="1D754FD7"/>
    <w:rsid w:val="1DED3012"/>
    <w:rsid w:val="1E82375A"/>
    <w:rsid w:val="1F01326E"/>
    <w:rsid w:val="1F095B9C"/>
    <w:rsid w:val="1F1F1647"/>
    <w:rsid w:val="1F561ADD"/>
    <w:rsid w:val="1F780DC2"/>
    <w:rsid w:val="20FF07FB"/>
    <w:rsid w:val="21395B15"/>
    <w:rsid w:val="21E85FCA"/>
    <w:rsid w:val="226118D9"/>
    <w:rsid w:val="229C2BAB"/>
    <w:rsid w:val="22F0510F"/>
    <w:rsid w:val="25096983"/>
    <w:rsid w:val="25441C76"/>
    <w:rsid w:val="25836BE3"/>
    <w:rsid w:val="25BA4DC4"/>
    <w:rsid w:val="2668592C"/>
    <w:rsid w:val="26DE667B"/>
    <w:rsid w:val="26E03232"/>
    <w:rsid w:val="27054047"/>
    <w:rsid w:val="28C826B1"/>
    <w:rsid w:val="2953641F"/>
    <w:rsid w:val="29B46E41"/>
    <w:rsid w:val="29F565AE"/>
    <w:rsid w:val="2A8A6E43"/>
    <w:rsid w:val="2AB13AC9"/>
    <w:rsid w:val="2AE53FC0"/>
    <w:rsid w:val="2B1700A6"/>
    <w:rsid w:val="2BC96E6C"/>
    <w:rsid w:val="2C194BB5"/>
    <w:rsid w:val="2C5A1872"/>
    <w:rsid w:val="2C5D7141"/>
    <w:rsid w:val="2C853BDC"/>
    <w:rsid w:val="2D67729E"/>
    <w:rsid w:val="2D785061"/>
    <w:rsid w:val="2E1B70C3"/>
    <w:rsid w:val="2EA76E71"/>
    <w:rsid w:val="2ED022C0"/>
    <w:rsid w:val="30017B36"/>
    <w:rsid w:val="32450250"/>
    <w:rsid w:val="32582CF8"/>
    <w:rsid w:val="32A907A3"/>
    <w:rsid w:val="32B11F30"/>
    <w:rsid w:val="334A6CCC"/>
    <w:rsid w:val="337D214D"/>
    <w:rsid w:val="344F012B"/>
    <w:rsid w:val="36F85248"/>
    <w:rsid w:val="388D11E1"/>
    <w:rsid w:val="390A4E81"/>
    <w:rsid w:val="39952488"/>
    <w:rsid w:val="39C173D5"/>
    <w:rsid w:val="39C57862"/>
    <w:rsid w:val="3B89556C"/>
    <w:rsid w:val="3BB84807"/>
    <w:rsid w:val="3CF4186F"/>
    <w:rsid w:val="3D023F8C"/>
    <w:rsid w:val="3D6C58AA"/>
    <w:rsid w:val="3D9F3D0F"/>
    <w:rsid w:val="3DAB1972"/>
    <w:rsid w:val="3DBC05DF"/>
    <w:rsid w:val="3EC60957"/>
    <w:rsid w:val="3ED27815"/>
    <w:rsid w:val="3F083603"/>
    <w:rsid w:val="405014B2"/>
    <w:rsid w:val="40AB0497"/>
    <w:rsid w:val="416B2215"/>
    <w:rsid w:val="419C11B8"/>
    <w:rsid w:val="41D91034"/>
    <w:rsid w:val="42326B4E"/>
    <w:rsid w:val="42EA61D2"/>
    <w:rsid w:val="4349650B"/>
    <w:rsid w:val="43F16B09"/>
    <w:rsid w:val="442441AA"/>
    <w:rsid w:val="4508410A"/>
    <w:rsid w:val="45B7128B"/>
    <w:rsid w:val="462705AB"/>
    <w:rsid w:val="4629283D"/>
    <w:rsid w:val="46CE1383"/>
    <w:rsid w:val="472369D4"/>
    <w:rsid w:val="48D566B0"/>
    <w:rsid w:val="49431BB4"/>
    <w:rsid w:val="49520049"/>
    <w:rsid w:val="4965313A"/>
    <w:rsid w:val="49B30212"/>
    <w:rsid w:val="4A056E6A"/>
    <w:rsid w:val="4AA57B5E"/>
    <w:rsid w:val="4B4340EE"/>
    <w:rsid w:val="4B756271"/>
    <w:rsid w:val="4B9228AA"/>
    <w:rsid w:val="4BA12EF9"/>
    <w:rsid w:val="4BA34B8C"/>
    <w:rsid w:val="4C066EC9"/>
    <w:rsid w:val="4D9F2D62"/>
    <w:rsid w:val="4E650441"/>
    <w:rsid w:val="50D614A4"/>
    <w:rsid w:val="511A6262"/>
    <w:rsid w:val="51273B6A"/>
    <w:rsid w:val="52320A18"/>
    <w:rsid w:val="523D33BF"/>
    <w:rsid w:val="52BC037F"/>
    <w:rsid w:val="52E65FD2"/>
    <w:rsid w:val="534C2BE5"/>
    <w:rsid w:val="53735520"/>
    <w:rsid w:val="5448601B"/>
    <w:rsid w:val="54A14421"/>
    <w:rsid w:val="54A6749B"/>
    <w:rsid w:val="54D03C07"/>
    <w:rsid w:val="557B26D6"/>
    <w:rsid w:val="55D52EEE"/>
    <w:rsid w:val="569A0841"/>
    <w:rsid w:val="579932E7"/>
    <w:rsid w:val="581A61D6"/>
    <w:rsid w:val="585F3392"/>
    <w:rsid w:val="5985377F"/>
    <w:rsid w:val="59D217F1"/>
    <w:rsid w:val="5B1433B1"/>
    <w:rsid w:val="5B955B74"/>
    <w:rsid w:val="5BB25F33"/>
    <w:rsid w:val="5BC8038A"/>
    <w:rsid w:val="5BEA4963"/>
    <w:rsid w:val="5D397C45"/>
    <w:rsid w:val="5D7E07CE"/>
    <w:rsid w:val="5E572680"/>
    <w:rsid w:val="5EB36A3D"/>
    <w:rsid w:val="5EFD6B34"/>
    <w:rsid w:val="5F0F2E75"/>
    <w:rsid w:val="5FA53FD4"/>
    <w:rsid w:val="61B50D1E"/>
    <w:rsid w:val="627A5256"/>
    <w:rsid w:val="62D726C2"/>
    <w:rsid w:val="632A39E3"/>
    <w:rsid w:val="64671D6D"/>
    <w:rsid w:val="64777C27"/>
    <w:rsid w:val="64CF0348"/>
    <w:rsid w:val="64F315BE"/>
    <w:rsid w:val="655F16CC"/>
    <w:rsid w:val="6665792A"/>
    <w:rsid w:val="66B912B0"/>
    <w:rsid w:val="66ED7AE9"/>
    <w:rsid w:val="670F2417"/>
    <w:rsid w:val="67A340D1"/>
    <w:rsid w:val="680A0A7C"/>
    <w:rsid w:val="68614624"/>
    <w:rsid w:val="68E00455"/>
    <w:rsid w:val="6A20004C"/>
    <w:rsid w:val="6A5858FA"/>
    <w:rsid w:val="6C037DFF"/>
    <w:rsid w:val="6C931DAA"/>
    <w:rsid w:val="6D656289"/>
    <w:rsid w:val="6DA5433C"/>
    <w:rsid w:val="6DA777AD"/>
    <w:rsid w:val="6DBC4FDA"/>
    <w:rsid w:val="6DF27FD2"/>
    <w:rsid w:val="6E7315BE"/>
    <w:rsid w:val="6F085E87"/>
    <w:rsid w:val="6F1572A0"/>
    <w:rsid w:val="6F991E32"/>
    <w:rsid w:val="70381498"/>
    <w:rsid w:val="71445EE6"/>
    <w:rsid w:val="723F7665"/>
    <w:rsid w:val="728409C4"/>
    <w:rsid w:val="72BE77A3"/>
    <w:rsid w:val="735008A6"/>
    <w:rsid w:val="73702CF6"/>
    <w:rsid w:val="73946C51"/>
    <w:rsid w:val="73D2750D"/>
    <w:rsid w:val="73F43927"/>
    <w:rsid w:val="745D771F"/>
    <w:rsid w:val="74C7103C"/>
    <w:rsid w:val="74F45081"/>
    <w:rsid w:val="74F51705"/>
    <w:rsid w:val="75D91F03"/>
    <w:rsid w:val="762A1882"/>
    <w:rsid w:val="765762AE"/>
    <w:rsid w:val="772C2BCD"/>
    <w:rsid w:val="773D6BE6"/>
    <w:rsid w:val="77E51F05"/>
    <w:rsid w:val="785062AD"/>
    <w:rsid w:val="78B8016E"/>
    <w:rsid w:val="7A1E59ED"/>
    <w:rsid w:val="7A6A4943"/>
    <w:rsid w:val="7AD047A0"/>
    <w:rsid w:val="7ADB0E40"/>
    <w:rsid w:val="7B113011"/>
    <w:rsid w:val="7B3100BB"/>
    <w:rsid w:val="7B3D7C92"/>
    <w:rsid w:val="7C3116BB"/>
    <w:rsid w:val="7C981D12"/>
    <w:rsid w:val="7CCC3693"/>
    <w:rsid w:val="7CD47E94"/>
    <w:rsid w:val="7E4E2DEB"/>
    <w:rsid w:val="7E6A3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link w:val="14"/>
    <w:autoRedefine/>
    <w:qFormat/>
    <w:uiPriority w:val="0"/>
    <w:pPr>
      <w:spacing w:beforeAutospacing="1" w:afterAutospacing="1"/>
      <w:jc w:val="left"/>
      <w:outlineLvl w:val="0"/>
    </w:pPr>
    <w:rPr>
      <w:rFonts w:hint="eastAsia" w:ascii="宋体" w:hAnsi="宋体"/>
      <w:b/>
      <w:kern w:val="44"/>
      <w:sz w:val="48"/>
      <w:szCs w:val="48"/>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5">
    <w:name w:val="Body Text"/>
    <w:basedOn w:val="1"/>
    <w:next w:val="6"/>
    <w:autoRedefine/>
    <w:qFormat/>
    <w:uiPriority w:val="0"/>
    <w:pPr>
      <w:widowControl w:val="0"/>
      <w:jc w:val="center"/>
    </w:pPr>
    <w:rPr>
      <w:rFonts w:ascii="Calibri" w:hAnsi="Calibri" w:eastAsia="方正小标宋简体" w:cs="Times New Roman"/>
      <w:kern w:val="2"/>
      <w:sz w:val="36"/>
      <w:szCs w:val="24"/>
      <w:lang w:val="en-US" w:eastAsia="zh-CN" w:bidi="ar-SA"/>
    </w:rPr>
  </w:style>
  <w:style w:type="paragraph" w:styleId="6">
    <w:name w:val="List Bullet 5"/>
    <w:basedOn w:val="1"/>
    <w:autoRedefine/>
    <w:semiHidden/>
    <w:unhideWhenUsed/>
    <w:qFormat/>
    <w:uiPriority w:val="99"/>
    <w:pPr>
      <w:numPr>
        <w:ilvl w:val="0"/>
        <w:numId w:val="1"/>
      </w:numPr>
    </w:pPr>
  </w:style>
  <w:style w:type="paragraph" w:styleId="7">
    <w:name w:val="footer"/>
    <w:basedOn w:val="1"/>
    <w:link w:val="16"/>
    <w:semiHidden/>
    <w:unhideWhenUsed/>
    <w:qFormat/>
    <w:uiPriority w:val="99"/>
    <w:pPr>
      <w:tabs>
        <w:tab w:val="center" w:pos="4153"/>
        <w:tab w:val="right" w:pos="8306"/>
      </w:tabs>
      <w:snapToGrid w:val="0"/>
      <w:jc w:val="left"/>
    </w:pPr>
    <w:rPr>
      <w:sz w:val="18"/>
      <w:szCs w:val="18"/>
    </w:rPr>
  </w:style>
  <w:style w:type="paragraph" w:styleId="8">
    <w:name w:val="header"/>
    <w:basedOn w:val="1"/>
    <w:link w:val="15"/>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spacing w:beforeAutospacing="1" w:afterAutospacing="1"/>
      <w:jc w:val="left"/>
    </w:pPr>
    <w:rPr>
      <w:rFonts w:cs="Times New Roman"/>
      <w:kern w:val="0"/>
      <w:sz w:val="24"/>
    </w:rPr>
  </w:style>
  <w:style w:type="character" w:styleId="12">
    <w:name w:val="Strong"/>
    <w:autoRedefine/>
    <w:qFormat/>
    <w:uiPriority w:val="22"/>
    <w:rPr>
      <w:b/>
      <w:bCs/>
    </w:rPr>
  </w:style>
  <w:style w:type="character" w:styleId="13">
    <w:name w:val="Hyperlink"/>
    <w:basedOn w:val="11"/>
    <w:autoRedefine/>
    <w:semiHidden/>
    <w:unhideWhenUsed/>
    <w:qFormat/>
    <w:uiPriority w:val="99"/>
    <w:rPr>
      <w:color w:val="0000FF"/>
      <w:u w:val="single"/>
    </w:rPr>
  </w:style>
  <w:style w:type="character" w:customStyle="1" w:styleId="14">
    <w:name w:val="标题 1 Char"/>
    <w:basedOn w:val="11"/>
    <w:link w:val="2"/>
    <w:autoRedefine/>
    <w:qFormat/>
    <w:uiPriority w:val="0"/>
    <w:rPr>
      <w:rFonts w:ascii="宋体" w:hAnsi="宋体" w:cs="宋体"/>
      <w:b/>
      <w:kern w:val="44"/>
      <w:sz w:val="48"/>
      <w:szCs w:val="48"/>
    </w:rPr>
  </w:style>
  <w:style w:type="character" w:customStyle="1" w:styleId="15">
    <w:name w:val="页眉 Char"/>
    <w:basedOn w:val="11"/>
    <w:link w:val="8"/>
    <w:autoRedefine/>
    <w:semiHidden/>
    <w:qFormat/>
    <w:uiPriority w:val="99"/>
    <w:rPr>
      <w:rFonts w:ascii="Calibri" w:hAnsi="Calibri" w:cs="宋体"/>
      <w:kern w:val="2"/>
      <w:sz w:val="18"/>
      <w:szCs w:val="18"/>
    </w:rPr>
  </w:style>
  <w:style w:type="character" w:customStyle="1" w:styleId="16">
    <w:name w:val="页脚 Char"/>
    <w:basedOn w:val="11"/>
    <w:link w:val="7"/>
    <w:autoRedefine/>
    <w:semiHidden/>
    <w:qFormat/>
    <w:uiPriority w:val="99"/>
    <w:rPr>
      <w:rFonts w:ascii="Calibri" w:hAnsi="Calibri" w:cs="宋体"/>
      <w:kern w:val="2"/>
      <w:sz w:val="18"/>
      <w:szCs w:val="18"/>
    </w:rPr>
  </w:style>
  <w:style w:type="paragraph" w:styleId="17">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3797</Words>
  <Characters>3911</Characters>
  <Lines>40</Lines>
  <Paragraphs>11</Paragraphs>
  <TotalTime>191</TotalTime>
  <ScaleCrop>false</ScaleCrop>
  <LinksUpToDate>false</LinksUpToDate>
  <CharactersWithSpaces>3914</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2022-10-11T05:20:00Z</dcterms:created>
  <dc:creator>lenovo</dc:creator>
  <cp:lastModifiedBy>节约每一分每一毛</cp:lastModifiedBy>
  <cp:lastPrinted>2022-11-14T08:21:00Z</cp:lastPrinted>
  <dcterms:modified xsi:type="dcterms:W3CDTF">2024-02-06T05:53:18Z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EB0C0A686D7B4311884ADCDE898F7452_13</vt:lpwstr>
  </property>
</Properties>
</file>