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val="0"/>
        <w:spacing w:before="0" w:beforeAutospacing="0" w:after="0" w:afterAutospacing="0" w:line="594" w:lineRule="exact"/>
        <w:jc w:val="both"/>
        <w:rPr>
          <w:rFonts w:hint="eastAsia" w:ascii="方正黑体_GBK" w:hAnsi="Times New Roman" w:eastAsia="方正黑体_GBK" w:cs="Times New Roman"/>
          <w:sz w:val="32"/>
          <w:szCs w:val="20"/>
          <w:lang w:val="en-US" w:eastAsia="zh-CN"/>
        </w:rPr>
      </w:pPr>
      <w:r>
        <w:rPr>
          <w:rFonts w:hint="eastAsia" w:ascii="方正黑体_GBK" w:hAnsi="Times New Roman" w:eastAsia="方正黑体_GBK" w:cs="Times New Roman"/>
          <w:sz w:val="32"/>
          <w:szCs w:val="20"/>
        </w:rPr>
        <w:t>附件</w:t>
      </w:r>
      <w:r>
        <w:rPr>
          <w:rFonts w:hint="eastAsia" w:ascii="方正黑体_GBK" w:hAnsi="Times New Roman" w:eastAsia="方正黑体_GBK" w:cs="Times New Roman"/>
          <w:sz w:val="32"/>
          <w:szCs w:val="20"/>
          <w:lang w:val="en-US" w:eastAsia="zh-CN"/>
        </w:rPr>
        <w:t>1</w:t>
      </w:r>
    </w:p>
    <w:p>
      <w:pPr>
        <w:pStyle w:val="7"/>
        <w:widowControl w:val="0"/>
        <w:spacing w:before="0" w:beforeAutospacing="0" w:after="0" w:afterAutospacing="0" w:line="594" w:lineRule="exact"/>
        <w:jc w:val="both"/>
        <w:rPr>
          <w:rFonts w:ascii="方正黑体_GBK" w:hAnsi="Times New Roman" w:eastAsia="方正黑体_GBK" w:cs="Times New Roman"/>
          <w:sz w:val="32"/>
          <w:szCs w:val="20"/>
        </w:rPr>
      </w:pPr>
    </w:p>
    <w:p>
      <w:pPr>
        <w:widowControl w:val="0"/>
        <w:spacing w:after="48" w:afterLines="20" w:line="560" w:lineRule="exact"/>
        <w:contextualSpacing/>
        <w:jc w:val="center"/>
        <w:rPr>
          <w:rFonts w:ascii="方正小标宋_GBK" w:hAnsi="Times New Roman" w:eastAsia="方正小标宋_GBK" w:cs="Times New Roman"/>
          <w:sz w:val="44"/>
          <w:szCs w:val="44"/>
        </w:rPr>
      </w:pPr>
      <w:bookmarkStart w:id="0" w:name="_Hlk132893628"/>
      <w:r>
        <w:rPr>
          <w:rFonts w:hint="eastAsia" w:ascii="方正小标宋_GBK" w:hAnsi="Times New Roman" w:eastAsia="方正小标宋_GBK"/>
          <w:spacing w:val="-10"/>
          <w:sz w:val="44"/>
        </w:rPr>
        <w:t>梁溪区支持产业高质量发展政策措施</w:t>
      </w:r>
      <w:bookmarkStart w:id="1" w:name="_GoBack"/>
      <w:bookmarkEnd w:id="1"/>
    </w:p>
    <w:bookmarkEnd w:id="0"/>
    <w:p>
      <w:pPr>
        <w:widowControl w:val="0"/>
        <w:spacing w:after="0"/>
        <w:contextualSpacing/>
        <w:jc w:val="center"/>
        <w:rPr>
          <w:rFonts w:ascii="方正楷体_GBK" w:hAnsi="Times New Roman" w:eastAsia="方正楷体_GBK" w:cs="Times New Roman"/>
          <w:sz w:val="13"/>
          <w:szCs w:val="13"/>
        </w:rPr>
      </w:pPr>
    </w:p>
    <w:p>
      <w:pPr>
        <w:widowControl w:val="0"/>
        <w:spacing w:line="560" w:lineRule="exact"/>
        <w:contextualSpacing/>
        <w:jc w:val="both"/>
        <w:rPr>
          <w:rFonts w:ascii="Times New Roman" w:hAnsi="Times New Roman" w:eastAsia="方正黑体_GBK" w:cs="Times New Roman"/>
          <w:sz w:val="32"/>
          <w:szCs w:val="19"/>
        </w:rPr>
      </w:pPr>
    </w:p>
    <w:p>
      <w:pPr>
        <w:widowControl w:val="0"/>
        <w:spacing w:line="560" w:lineRule="exact"/>
        <w:ind w:firstLine="640" w:firstLineChars="200"/>
        <w:contextualSpacing/>
        <w:jc w:val="both"/>
        <w:rPr>
          <w:rFonts w:ascii="Times New Roman" w:hAnsi="Times New Roman" w:eastAsia="方正仿宋_GBK" w:cs="Times New Roman"/>
          <w:sz w:val="32"/>
          <w:szCs w:val="19"/>
        </w:rPr>
      </w:pPr>
      <w:r>
        <w:rPr>
          <w:rFonts w:hint="eastAsia" w:ascii="Times New Roman" w:hAnsi="Times New Roman" w:eastAsia="方正仿宋_GBK" w:cs="Times New Roman"/>
          <w:sz w:val="32"/>
          <w:szCs w:val="19"/>
        </w:rPr>
        <w:t>为加快推进产业高质量发展，根据《梁溪区产业强区高质量发展实施意见》，围绕“做大商贸服务业、做强都市工业、做优文旅产业”和推进“高端智造、数字经济、总部经济、楼宇经济、夜间经济、首店经济”六个集群，完整、准确、全面贯彻新发展理念，充分发挥区位优势、资源优势和产业比较优势，坚定不移推进创新驱动核心战略和产业强区主导战略，制定如下政策意见。</w:t>
      </w:r>
    </w:p>
    <w:p>
      <w:pPr>
        <w:widowControl w:val="0"/>
        <w:spacing w:after="0" w:line="560" w:lineRule="exact"/>
        <w:ind w:firstLine="640" w:firstLineChars="200"/>
        <w:jc w:val="both"/>
        <w:rPr>
          <w:rFonts w:ascii="Times New Roman" w:hAnsi="Times New Roman" w:eastAsia="方正黑体_GBK" w:cs="Times New Roman"/>
          <w:bCs/>
          <w:sz w:val="32"/>
          <w:szCs w:val="19"/>
        </w:rPr>
      </w:pPr>
      <w:r>
        <w:rPr>
          <w:rFonts w:ascii="Times New Roman" w:hAnsi="Times New Roman" w:eastAsia="方正黑体_GBK" w:cs="Times New Roman"/>
          <w:bCs/>
          <w:sz w:val="32"/>
          <w:szCs w:val="19"/>
        </w:rPr>
        <w:t>一、</w:t>
      </w:r>
      <w:r>
        <w:rPr>
          <w:rFonts w:hint="eastAsia" w:ascii="Times New Roman" w:hAnsi="Times New Roman" w:eastAsia="方正黑体_GBK" w:cs="Times New Roman"/>
          <w:bCs/>
          <w:sz w:val="32"/>
          <w:szCs w:val="19"/>
        </w:rPr>
        <w:t>聚焦都市工业</w:t>
      </w:r>
    </w:p>
    <w:p>
      <w:pPr>
        <w:widowControl w:val="0"/>
        <w:spacing w:after="0" w:line="560" w:lineRule="exact"/>
        <w:ind w:firstLine="640" w:firstLineChars="200"/>
        <w:jc w:val="both"/>
        <w:rPr>
          <w:rFonts w:ascii="Times New Roman" w:hAnsi="Times New Roman" w:eastAsia="方正仿宋_GBK" w:cs="Times New Roman"/>
          <w:sz w:val="32"/>
          <w:szCs w:val="19"/>
        </w:rPr>
      </w:pPr>
      <w:r>
        <w:rPr>
          <w:rFonts w:hint="eastAsia" w:ascii="Times New Roman" w:hAnsi="Times New Roman" w:eastAsia="方正仿宋_GBK" w:cs="Times New Roman"/>
          <w:sz w:val="32"/>
          <w:szCs w:val="19"/>
        </w:rPr>
        <w:t>围绕创新驱动和产业强区战略，结合梁溪区“345”产业体系，全面推动企业向高端化、智能化、数字化方向发展，对符合十个产业生态圈发展的产业及产业链细分赛道的工业企业给予如下奖励：</w:t>
      </w:r>
    </w:p>
    <w:p>
      <w:pPr>
        <w:widowControl w:val="0"/>
        <w:spacing w:after="0" w:line="560" w:lineRule="exact"/>
        <w:ind w:firstLine="640" w:firstLineChars="200"/>
        <w:jc w:val="both"/>
        <w:rPr>
          <w:rFonts w:ascii="方正楷体_GBK" w:hAnsi="Times New Roman" w:eastAsia="方正楷体_GBK" w:cs="Times New Roman"/>
          <w:color w:val="000000"/>
          <w:sz w:val="32"/>
          <w:szCs w:val="32"/>
        </w:rPr>
      </w:pPr>
      <w:r>
        <w:rPr>
          <w:rFonts w:ascii="方正楷体_GBK" w:hAnsi="Times New Roman" w:eastAsia="方正楷体_GBK" w:cs="Times New Roman"/>
          <w:color w:val="000000"/>
          <w:sz w:val="32"/>
          <w:szCs w:val="32"/>
        </w:rPr>
        <w:t>1. 支持</w:t>
      </w:r>
      <w:r>
        <w:rPr>
          <w:rFonts w:hint="eastAsia" w:ascii="方正楷体_GBK" w:hAnsi="Times New Roman" w:eastAsia="方正楷体_GBK" w:cs="Times New Roman"/>
          <w:color w:val="000000"/>
          <w:sz w:val="32"/>
          <w:szCs w:val="32"/>
        </w:rPr>
        <w:t>做大</w:t>
      </w:r>
      <w:r>
        <w:rPr>
          <w:rFonts w:ascii="方正楷体_GBK" w:hAnsi="Times New Roman" w:eastAsia="方正楷体_GBK" w:cs="Times New Roman"/>
          <w:color w:val="000000"/>
          <w:sz w:val="32"/>
          <w:szCs w:val="32"/>
        </w:rPr>
        <w:t>规上工业规模</w:t>
      </w:r>
    </w:p>
    <w:p>
      <w:pPr>
        <w:spacing w:after="0"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（1）</w:t>
      </w:r>
      <w:r>
        <w:rPr>
          <w:rFonts w:ascii="Times New Roman" w:hAnsi="Times New Roman" w:eastAsia="方正仿宋_GBK"/>
          <w:sz w:val="32"/>
          <w:szCs w:val="32"/>
        </w:rPr>
        <w:t>对首次入规工业企业</w:t>
      </w:r>
      <w:r>
        <w:rPr>
          <w:rFonts w:hint="eastAsia" w:ascii="Times New Roman" w:hAnsi="Times New Roman" w:eastAsia="方正仿宋_GBK"/>
          <w:sz w:val="32"/>
          <w:szCs w:val="32"/>
        </w:rPr>
        <w:t>并</w:t>
      </w:r>
      <w:r>
        <w:rPr>
          <w:rFonts w:ascii="Times New Roman" w:hAnsi="Times New Roman" w:eastAsia="方正仿宋_GBK"/>
          <w:sz w:val="32"/>
          <w:szCs w:val="32"/>
        </w:rPr>
        <w:t>符合梁溪区“345”产业定位，入规后</w:t>
      </w:r>
      <w:r>
        <w:rPr>
          <w:rFonts w:hint="eastAsia" w:ascii="Times New Roman" w:hAnsi="Times New Roman" w:eastAsia="方正仿宋_GBK"/>
          <w:sz w:val="32"/>
          <w:szCs w:val="32"/>
        </w:rPr>
        <w:t>首年净增</w:t>
      </w:r>
      <w:r>
        <w:rPr>
          <w:rFonts w:ascii="Times New Roman" w:hAnsi="Times New Roman" w:eastAsia="方正仿宋_GBK"/>
          <w:sz w:val="32"/>
          <w:szCs w:val="32"/>
        </w:rPr>
        <w:t>产值在</w:t>
      </w:r>
      <w:r>
        <w:rPr>
          <w:rFonts w:hint="eastAsia" w:ascii="Times New Roman" w:hAnsi="Times New Roman" w:eastAsia="方正仿宋_GBK"/>
          <w:sz w:val="32"/>
          <w:szCs w:val="32"/>
        </w:rPr>
        <w:t>1000</w:t>
      </w:r>
      <w:r>
        <w:rPr>
          <w:rFonts w:ascii="Times New Roman" w:hAnsi="Times New Roman" w:eastAsia="方正仿宋_GBK"/>
          <w:sz w:val="32"/>
          <w:szCs w:val="32"/>
        </w:rPr>
        <w:t>万元以上</w:t>
      </w:r>
      <w:r>
        <w:rPr>
          <w:rFonts w:hint="eastAsia" w:ascii="Times New Roman" w:hAnsi="Times New Roman" w:eastAsia="方正仿宋_GBK"/>
          <w:sz w:val="32"/>
          <w:szCs w:val="32"/>
        </w:rPr>
        <w:t>且增幅在25%以上的</w:t>
      </w:r>
      <w:r>
        <w:rPr>
          <w:rFonts w:ascii="Times New Roman" w:hAnsi="Times New Roman" w:eastAsia="方正仿宋_GBK"/>
          <w:sz w:val="32"/>
          <w:szCs w:val="32"/>
        </w:rPr>
        <w:t>，分档择优给予最高50万元奖励。（核准类）</w:t>
      </w:r>
    </w:p>
    <w:p>
      <w:pPr>
        <w:spacing w:after="0"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（2）</w:t>
      </w:r>
      <w:r>
        <w:rPr>
          <w:rFonts w:ascii="Times New Roman" w:hAnsi="Times New Roman" w:eastAsia="方正仿宋_GBK"/>
          <w:sz w:val="32"/>
          <w:szCs w:val="32"/>
        </w:rPr>
        <w:t>对</w:t>
      </w:r>
      <w:r>
        <w:rPr>
          <w:rFonts w:hint="eastAsia" w:ascii="Times New Roman" w:hAnsi="Times New Roman" w:eastAsia="方正仿宋_GBK"/>
          <w:sz w:val="32"/>
          <w:szCs w:val="32"/>
        </w:rPr>
        <w:t>存量</w:t>
      </w:r>
      <w:r>
        <w:rPr>
          <w:rFonts w:ascii="Times New Roman" w:hAnsi="Times New Roman" w:eastAsia="方正仿宋_GBK"/>
          <w:sz w:val="32"/>
          <w:szCs w:val="32"/>
        </w:rPr>
        <w:t>规上工业企业，</w:t>
      </w:r>
      <w:r>
        <w:rPr>
          <w:rFonts w:hint="eastAsia" w:ascii="Times New Roman" w:hAnsi="Times New Roman" w:eastAsia="方正仿宋_GBK"/>
          <w:sz w:val="32"/>
          <w:szCs w:val="32"/>
        </w:rPr>
        <w:t>新增产值</w:t>
      </w:r>
      <w:r>
        <w:rPr>
          <w:rFonts w:ascii="Times New Roman" w:hAnsi="Times New Roman" w:eastAsia="方正仿宋_GBK"/>
          <w:sz w:val="32"/>
          <w:szCs w:val="32"/>
        </w:rPr>
        <w:t>在2000万元以上</w:t>
      </w:r>
      <w:r>
        <w:rPr>
          <w:rFonts w:hint="eastAsia" w:ascii="Times New Roman" w:hAnsi="Times New Roman" w:eastAsia="方正仿宋_GBK"/>
          <w:sz w:val="32"/>
          <w:szCs w:val="32"/>
        </w:rPr>
        <w:t>且</w:t>
      </w:r>
      <w:r>
        <w:rPr>
          <w:rFonts w:ascii="Times New Roman" w:hAnsi="Times New Roman" w:eastAsia="方正仿宋_GBK"/>
          <w:sz w:val="32"/>
          <w:szCs w:val="32"/>
        </w:rPr>
        <w:t>当年产值增幅达到20%以上，分档择优给予最高50万元奖励。（核准类）</w:t>
      </w:r>
    </w:p>
    <w:p>
      <w:pPr>
        <w:widowControl w:val="0"/>
        <w:spacing w:after="0" w:line="560" w:lineRule="exact"/>
        <w:ind w:firstLine="640" w:firstLineChars="200"/>
        <w:jc w:val="both"/>
        <w:rPr>
          <w:rFonts w:ascii="方正楷体_GBK" w:hAnsi="Times New Roman" w:eastAsia="方正楷体_GBK" w:cs="Times New Roman"/>
          <w:color w:val="000000"/>
          <w:sz w:val="32"/>
          <w:szCs w:val="32"/>
        </w:rPr>
      </w:pPr>
      <w:r>
        <w:rPr>
          <w:rFonts w:ascii="方正楷体_GBK" w:hAnsi="Times New Roman" w:eastAsia="方正楷体_GBK" w:cs="Times New Roman"/>
          <w:color w:val="000000"/>
          <w:sz w:val="32"/>
          <w:szCs w:val="32"/>
        </w:rPr>
        <w:t>2</w:t>
      </w:r>
      <w:r>
        <w:rPr>
          <w:rFonts w:hint="eastAsia" w:ascii="方正楷体_GBK" w:hAnsi="Times New Roman" w:eastAsia="方正楷体_GBK" w:cs="Times New Roman"/>
          <w:color w:val="000000"/>
          <w:sz w:val="32"/>
          <w:szCs w:val="32"/>
        </w:rPr>
        <w:t>.</w:t>
      </w:r>
      <w:r>
        <w:rPr>
          <w:rFonts w:ascii="方正楷体_GBK" w:hAnsi="Times New Roman" w:eastAsia="方正楷体_GBK" w:cs="Times New Roman"/>
          <w:color w:val="000000"/>
          <w:sz w:val="32"/>
          <w:szCs w:val="32"/>
        </w:rPr>
        <w:t>鼓励</w:t>
      </w:r>
      <w:r>
        <w:rPr>
          <w:rFonts w:hint="eastAsia" w:ascii="方正楷体_GBK" w:hAnsi="Times New Roman" w:eastAsia="方正楷体_GBK" w:cs="Times New Roman"/>
          <w:color w:val="000000"/>
          <w:sz w:val="32"/>
          <w:szCs w:val="32"/>
        </w:rPr>
        <w:t>高端智造融合发展</w:t>
      </w:r>
    </w:p>
    <w:p>
      <w:pPr>
        <w:pStyle w:val="16"/>
        <w:snapToGrid w:val="0"/>
        <w:spacing w:line="560" w:lineRule="exact"/>
        <w:ind w:firstLine="640" w:firstLineChars="200"/>
        <w:rPr>
          <w:rFonts w:ascii="Times New Roman" w:hAnsi="Times New Roman" w:eastAsia="方正仿宋_GBK" w:cstheme="minorBidi"/>
          <w:color w:val="auto"/>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（1）</w:t>
      </w:r>
      <w:r>
        <w:rPr>
          <w:rFonts w:ascii="Times New Roman" w:hAnsi="Times New Roman" w:eastAsia="方正仿宋_GBK" w:cstheme="minorBidi"/>
          <w:color w:val="auto"/>
          <w:sz w:val="32"/>
          <w:szCs w:val="32"/>
        </w:rPr>
        <w:t>鼓励</w:t>
      </w:r>
      <w:r>
        <w:rPr>
          <w:rFonts w:hint="eastAsia" w:ascii="Times New Roman" w:hAnsi="Times New Roman" w:eastAsia="方正仿宋_GBK" w:cstheme="minorBidi"/>
          <w:color w:val="auto"/>
          <w:sz w:val="32"/>
          <w:szCs w:val="32"/>
        </w:rPr>
        <w:t>工业</w:t>
      </w:r>
      <w:r>
        <w:rPr>
          <w:rFonts w:ascii="Times New Roman" w:hAnsi="Times New Roman" w:eastAsia="方正仿宋_GBK" w:cstheme="minorBidi"/>
          <w:color w:val="auto"/>
          <w:sz w:val="32"/>
          <w:szCs w:val="32"/>
        </w:rPr>
        <w:t>企业加快技术改造</w:t>
      </w:r>
      <w:r>
        <w:rPr>
          <w:rFonts w:hint="eastAsia" w:ascii="Times New Roman" w:hAnsi="Times New Roman" w:eastAsia="方正仿宋_GBK" w:cstheme="minorBidi"/>
          <w:color w:val="auto"/>
          <w:sz w:val="32"/>
          <w:szCs w:val="32"/>
        </w:rPr>
        <w:t>，向高技术及战略新兴产业集聚</w:t>
      </w:r>
      <w:r>
        <w:rPr>
          <w:rFonts w:ascii="Times New Roman" w:hAnsi="Times New Roman" w:eastAsia="方正仿宋_GBK" w:cstheme="minorBidi"/>
          <w:color w:val="auto"/>
          <w:sz w:val="32"/>
          <w:szCs w:val="32"/>
        </w:rPr>
        <w:t>。经备案（或核准）</w:t>
      </w:r>
      <w:r>
        <w:rPr>
          <w:rFonts w:hint="eastAsia" w:ascii="Times New Roman" w:hAnsi="Times New Roman" w:eastAsia="方正仿宋_GBK" w:cstheme="minorBidi"/>
          <w:color w:val="auto"/>
          <w:sz w:val="32"/>
          <w:szCs w:val="32"/>
        </w:rPr>
        <w:t>入统计库</w:t>
      </w:r>
      <w:r>
        <w:rPr>
          <w:rFonts w:ascii="Times New Roman" w:hAnsi="Times New Roman" w:eastAsia="方正仿宋_GBK" w:cstheme="minorBidi"/>
          <w:color w:val="auto"/>
          <w:sz w:val="32"/>
          <w:szCs w:val="32"/>
        </w:rPr>
        <w:t>的</w:t>
      </w:r>
      <w:r>
        <w:rPr>
          <w:rFonts w:hint="eastAsia" w:ascii="Times New Roman" w:hAnsi="Times New Roman" w:eastAsia="方正仿宋_GBK" w:cstheme="minorBidi"/>
          <w:color w:val="auto"/>
          <w:sz w:val="32"/>
          <w:szCs w:val="32"/>
        </w:rPr>
        <w:t>高技术或战略性新兴产业的</w:t>
      </w:r>
      <w:r>
        <w:rPr>
          <w:rFonts w:ascii="Times New Roman" w:hAnsi="Times New Roman" w:eastAsia="方正仿宋_GBK" w:cstheme="minorBidi"/>
          <w:color w:val="auto"/>
          <w:sz w:val="32"/>
          <w:szCs w:val="32"/>
        </w:rPr>
        <w:t>项目，</w:t>
      </w:r>
      <w:r>
        <w:rPr>
          <w:rFonts w:hint="eastAsia" w:ascii="Times New Roman" w:hAnsi="Times New Roman" w:eastAsia="方正仿宋_GBK" w:cstheme="minorBidi"/>
          <w:color w:val="auto"/>
          <w:sz w:val="32"/>
          <w:szCs w:val="32"/>
        </w:rPr>
        <w:t>对于当年智能化投入300万元（含）以上，</w:t>
      </w:r>
      <w:r>
        <w:rPr>
          <w:rFonts w:ascii="Times New Roman" w:hAnsi="Times New Roman" w:eastAsia="方正仿宋_GBK" w:cstheme="minorBidi"/>
          <w:color w:val="auto"/>
          <w:sz w:val="32"/>
          <w:szCs w:val="32"/>
        </w:rPr>
        <w:t>按照技术和设备实际投入的1</w:t>
      </w:r>
      <w:r>
        <w:rPr>
          <w:rFonts w:hint="eastAsia" w:ascii="Times New Roman" w:hAnsi="Times New Roman" w:eastAsia="方正仿宋_GBK" w:cstheme="minorBidi"/>
          <w:color w:val="auto"/>
          <w:sz w:val="32"/>
          <w:szCs w:val="32"/>
        </w:rPr>
        <w:t>2-15%</w:t>
      </w:r>
      <w:r>
        <w:rPr>
          <w:rFonts w:ascii="Times New Roman" w:hAnsi="Times New Roman" w:eastAsia="方正仿宋_GBK" w:cstheme="minorBidi"/>
          <w:color w:val="auto"/>
          <w:sz w:val="32"/>
          <w:szCs w:val="32"/>
        </w:rPr>
        <w:t>以内，分档择优给予最高</w:t>
      </w:r>
      <w:r>
        <w:rPr>
          <w:rFonts w:hint="eastAsia" w:ascii="Times New Roman" w:hAnsi="Times New Roman" w:eastAsia="方正仿宋_GBK" w:cstheme="minorBidi"/>
          <w:color w:val="auto"/>
          <w:sz w:val="32"/>
          <w:szCs w:val="32"/>
        </w:rPr>
        <w:t>10</w:t>
      </w:r>
      <w:r>
        <w:rPr>
          <w:rFonts w:ascii="Times New Roman" w:hAnsi="Times New Roman" w:eastAsia="方正仿宋_GBK" w:cstheme="minorBidi"/>
          <w:color w:val="auto"/>
          <w:sz w:val="32"/>
          <w:szCs w:val="32"/>
        </w:rPr>
        <w:t>00万元的奖励。（评审类）</w:t>
      </w:r>
    </w:p>
    <w:p>
      <w:pPr>
        <w:pStyle w:val="16"/>
        <w:snapToGrid w:val="0"/>
        <w:spacing w:line="560" w:lineRule="exact"/>
        <w:ind w:firstLine="640" w:firstLineChars="200"/>
        <w:rPr>
          <w:rFonts w:ascii="Times New Roman" w:hAnsi="Times New Roman" w:eastAsia="方正仿宋_GBK" w:cstheme="minorBidi"/>
          <w:color w:val="auto"/>
          <w:sz w:val="32"/>
          <w:szCs w:val="32"/>
        </w:rPr>
      </w:pPr>
      <w:r>
        <w:rPr>
          <w:rFonts w:ascii="Times New Roman" w:hAnsi="Times New Roman" w:eastAsia="方正仿宋_GBK" w:cstheme="minorBidi"/>
          <w:color w:val="auto"/>
          <w:sz w:val="32"/>
          <w:szCs w:val="32"/>
        </w:rPr>
        <w:t>——</w:t>
      </w:r>
      <w:r>
        <w:rPr>
          <w:rFonts w:hint="eastAsia" w:ascii="Times New Roman" w:hAnsi="Times New Roman" w:eastAsia="方正仿宋_GBK" w:cstheme="minorBidi"/>
          <w:color w:val="auto"/>
          <w:sz w:val="32"/>
          <w:szCs w:val="32"/>
        </w:rPr>
        <w:t>（2）</w:t>
      </w:r>
      <w:r>
        <w:rPr>
          <w:rFonts w:ascii="Times New Roman" w:hAnsi="Times New Roman" w:eastAsia="方正仿宋_GBK" w:cstheme="minorBidi"/>
          <w:color w:val="auto"/>
          <w:sz w:val="32"/>
          <w:szCs w:val="32"/>
        </w:rPr>
        <w:t>对</w:t>
      </w:r>
      <w:r>
        <w:rPr>
          <w:rFonts w:hint="eastAsia" w:ascii="Times New Roman" w:hAnsi="Times New Roman" w:eastAsia="方正仿宋_GBK" w:cstheme="minorBidi"/>
          <w:color w:val="auto"/>
          <w:sz w:val="32"/>
          <w:szCs w:val="32"/>
        </w:rPr>
        <w:t>新增</w:t>
      </w:r>
      <w:r>
        <w:rPr>
          <w:rFonts w:ascii="Times New Roman" w:hAnsi="Times New Roman" w:eastAsia="方正仿宋_GBK" w:cstheme="minorBidi"/>
          <w:color w:val="auto"/>
          <w:sz w:val="32"/>
          <w:szCs w:val="32"/>
        </w:rPr>
        <w:t>获得国家</w:t>
      </w:r>
      <w:r>
        <w:rPr>
          <w:rFonts w:hint="eastAsia" w:ascii="Times New Roman" w:hAnsi="Times New Roman" w:eastAsia="方正仿宋_GBK" w:cstheme="minorBidi"/>
          <w:color w:val="auto"/>
          <w:sz w:val="32"/>
          <w:szCs w:val="32"/>
        </w:rPr>
        <w:t>级、省级</w:t>
      </w:r>
      <w:r>
        <w:rPr>
          <w:rFonts w:ascii="Times New Roman" w:hAnsi="Times New Roman" w:eastAsia="方正仿宋_GBK" w:cstheme="minorBidi"/>
          <w:color w:val="auto"/>
          <w:sz w:val="32"/>
          <w:szCs w:val="32"/>
        </w:rPr>
        <w:t>专精特新“小巨人”企业给予</w:t>
      </w:r>
      <w:r>
        <w:rPr>
          <w:rFonts w:hint="eastAsia" w:ascii="Times New Roman" w:hAnsi="Times New Roman" w:eastAsia="方正仿宋_GBK" w:cstheme="minorBidi"/>
          <w:color w:val="auto"/>
          <w:sz w:val="32"/>
          <w:szCs w:val="32"/>
        </w:rPr>
        <w:t>最高</w:t>
      </w:r>
      <w:r>
        <w:rPr>
          <w:rFonts w:ascii="Times New Roman" w:hAnsi="Times New Roman" w:eastAsia="方正仿宋_GBK" w:cstheme="minorBidi"/>
          <w:color w:val="auto"/>
          <w:sz w:val="32"/>
          <w:szCs w:val="32"/>
        </w:rPr>
        <w:t>100万元奖励</w:t>
      </w:r>
      <w:r>
        <w:rPr>
          <w:rFonts w:hint="eastAsia" w:ascii="Times New Roman" w:hAnsi="Times New Roman" w:eastAsia="方正仿宋_GBK" w:cstheme="minorBidi"/>
          <w:color w:val="auto"/>
          <w:sz w:val="32"/>
          <w:szCs w:val="32"/>
        </w:rPr>
        <w:t>。（核准类）</w:t>
      </w:r>
    </w:p>
    <w:p>
      <w:pPr>
        <w:spacing w:after="0" w:line="560" w:lineRule="exact"/>
        <w:ind w:firstLine="640" w:firstLineChars="200"/>
        <w:rPr>
          <w:rFonts w:ascii="Times New Roman" w:hAnsi="Times New Roman" w:eastAsia="方正仿宋_GBK"/>
          <w:sz w:val="32"/>
          <w:szCs w:val="32"/>
        </w:rPr>
      </w:pP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（3）</w:t>
      </w:r>
      <w:r>
        <w:rPr>
          <w:rFonts w:ascii="Times New Roman" w:hAnsi="Times New Roman" w:eastAsia="方正仿宋_GBK"/>
          <w:sz w:val="32"/>
          <w:szCs w:val="32"/>
        </w:rPr>
        <w:t>支持企业智能制造。对新增省级智能化示范工厂（车间）的智能制造企业，</w:t>
      </w:r>
      <w:r>
        <w:rPr>
          <w:rFonts w:hint="eastAsia" w:ascii="Times New Roman" w:hAnsi="Times New Roman" w:eastAsia="方正仿宋_GBK"/>
          <w:sz w:val="32"/>
          <w:szCs w:val="32"/>
        </w:rPr>
        <w:t>一次性给予100</w:t>
      </w:r>
      <w:r>
        <w:rPr>
          <w:rFonts w:ascii="Times New Roman" w:hAnsi="Times New Roman" w:eastAsia="方正仿宋_GBK"/>
          <w:sz w:val="32"/>
          <w:szCs w:val="32"/>
        </w:rPr>
        <w:t>万</w:t>
      </w:r>
      <w:r>
        <w:rPr>
          <w:rFonts w:hint="eastAsia" w:ascii="Times New Roman" w:hAnsi="Times New Roman" w:eastAsia="方正仿宋_GBK"/>
          <w:sz w:val="32"/>
          <w:szCs w:val="32"/>
        </w:rPr>
        <w:t>、80万的</w:t>
      </w:r>
      <w:r>
        <w:rPr>
          <w:rFonts w:ascii="Times New Roman" w:hAnsi="Times New Roman" w:eastAsia="方正仿宋_GBK"/>
          <w:sz w:val="32"/>
          <w:szCs w:val="32"/>
        </w:rPr>
        <w:t>奖励。（核准类）</w:t>
      </w:r>
    </w:p>
    <w:p>
      <w:pPr>
        <w:spacing w:after="0" w:line="560" w:lineRule="exact"/>
        <w:ind w:firstLine="640" w:firstLineChars="200"/>
        <w:rPr>
          <w:rFonts w:ascii="Times New Roman" w:hAnsi="Times New Roman" w:eastAsia="方正仿宋_GBK"/>
          <w:color w:val="FF0000"/>
          <w:sz w:val="32"/>
          <w:szCs w:val="32"/>
        </w:rPr>
      </w:pPr>
      <w:r>
        <w:rPr>
          <w:rFonts w:ascii="Times New Roman" w:hAnsi="Times New Roman" w:eastAsia="方正仿宋_GBK"/>
          <w:color w:val="000000"/>
          <w:sz w:val="32"/>
          <w:szCs w:val="32"/>
        </w:rPr>
        <w:t>——</w:t>
      </w:r>
      <w:r>
        <w:rPr>
          <w:rFonts w:hint="eastAsia" w:ascii="Times New Roman" w:hAnsi="Times New Roman" w:eastAsia="方正仿宋_GBK"/>
          <w:color w:val="000000"/>
          <w:sz w:val="32"/>
          <w:szCs w:val="32"/>
        </w:rPr>
        <w:t>（4）</w:t>
      </w:r>
      <w:r>
        <w:rPr>
          <w:rFonts w:ascii="Times New Roman" w:hAnsi="Times New Roman" w:eastAsia="方正仿宋_GBK"/>
          <w:color w:val="000000"/>
          <w:sz w:val="32"/>
          <w:szCs w:val="32"/>
        </w:rPr>
        <w:t>对</w:t>
      </w:r>
      <w:r>
        <w:rPr>
          <w:rFonts w:hint="eastAsia" w:ascii="Times New Roman" w:hAnsi="Times New Roman" w:eastAsia="方正仿宋_GBK"/>
          <w:color w:val="000000"/>
          <w:sz w:val="32"/>
          <w:szCs w:val="32"/>
        </w:rPr>
        <w:t>新增</w:t>
      </w:r>
      <w:r>
        <w:rPr>
          <w:rFonts w:ascii="Times New Roman" w:hAnsi="Times New Roman" w:eastAsia="方正仿宋_GBK"/>
          <w:color w:val="000000"/>
          <w:sz w:val="32"/>
          <w:szCs w:val="32"/>
        </w:rPr>
        <w:t>获得国家级工业企业技术中心的</w:t>
      </w:r>
      <w:r>
        <w:rPr>
          <w:rFonts w:hint="eastAsia" w:ascii="Times New Roman" w:hAnsi="Times New Roman" w:eastAsia="方正仿宋_GBK"/>
          <w:color w:val="000000"/>
          <w:sz w:val="32"/>
          <w:szCs w:val="32"/>
        </w:rPr>
        <w:t>企业</w:t>
      </w:r>
      <w:r>
        <w:rPr>
          <w:rFonts w:ascii="Times New Roman" w:hAnsi="Times New Roman" w:eastAsia="方正仿宋_GBK"/>
          <w:color w:val="000000"/>
          <w:sz w:val="32"/>
          <w:szCs w:val="32"/>
        </w:rPr>
        <w:t>，择优给予最高</w:t>
      </w:r>
      <w:r>
        <w:rPr>
          <w:rFonts w:hint="eastAsia" w:ascii="Times New Roman" w:hAnsi="Times New Roman" w:eastAsia="方正仿宋_GBK"/>
          <w:color w:val="000000"/>
          <w:sz w:val="32"/>
          <w:szCs w:val="32"/>
        </w:rPr>
        <w:t>5</w:t>
      </w:r>
      <w:r>
        <w:rPr>
          <w:rFonts w:ascii="Times New Roman" w:hAnsi="Times New Roman" w:eastAsia="方正仿宋_GBK"/>
          <w:color w:val="000000"/>
          <w:sz w:val="32"/>
          <w:szCs w:val="32"/>
        </w:rPr>
        <w:t>0万元奖励。（核准类）</w:t>
      </w:r>
    </w:p>
    <w:p>
      <w:pPr>
        <w:widowControl w:val="0"/>
        <w:spacing w:after="0" w:line="560" w:lineRule="exact"/>
        <w:ind w:firstLine="640" w:firstLineChars="200"/>
        <w:jc w:val="both"/>
        <w:rPr>
          <w:rFonts w:ascii="方正楷体_GBK" w:hAnsi="Times New Roman" w:eastAsia="方正楷体_GBK" w:cs="Times New Roman"/>
          <w:color w:val="000000"/>
          <w:sz w:val="32"/>
          <w:szCs w:val="32"/>
        </w:rPr>
      </w:pPr>
      <w:r>
        <w:rPr>
          <w:rFonts w:ascii="方正楷体_GBK" w:hAnsi="Times New Roman" w:eastAsia="方正楷体_GBK" w:cs="Times New Roman"/>
          <w:color w:val="000000"/>
          <w:sz w:val="32"/>
          <w:szCs w:val="32"/>
        </w:rPr>
        <w:t>3. 支持数字经济加快发展</w:t>
      </w:r>
    </w:p>
    <w:p>
      <w:pPr>
        <w:spacing w:after="0" w:line="560" w:lineRule="exact"/>
        <w:ind w:firstLine="640" w:firstLineChars="200"/>
        <w:rPr>
          <w:rFonts w:ascii="Times New Roman" w:hAnsi="Times New Roman" w:eastAsia="方正仿宋_GBK" w:cs="方正仿宋_GBK"/>
          <w:color w:val="FF0000"/>
          <w:sz w:val="32"/>
          <w:szCs w:val="32"/>
        </w:rPr>
      </w:pPr>
      <w:r>
        <w:rPr>
          <w:rFonts w:hint="eastAsia" w:ascii="Times New Roman" w:hAnsi="Times New Roman" w:eastAsia="方正仿宋_GBK" w:cs="方正仿宋_GBK"/>
          <w:color w:val="000000"/>
          <w:sz w:val="32"/>
          <w:szCs w:val="32"/>
        </w:rPr>
        <w:t>——（1）对首次入库的规上企业，新增营收达到1</w:t>
      </w:r>
      <w:r>
        <w:rPr>
          <w:rFonts w:ascii="Times New Roman" w:hAnsi="Times New Roman" w:eastAsia="方正仿宋_GBK" w:cs="方正仿宋_GBK"/>
          <w:color w:val="000000"/>
          <w:sz w:val="32"/>
          <w:szCs w:val="32"/>
        </w:rPr>
        <w:t>000</w:t>
      </w:r>
      <w:r>
        <w:rPr>
          <w:rFonts w:hint="eastAsia" w:ascii="Times New Roman" w:hAnsi="Times New Roman" w:eastAsia="方正仿宋_GBK" w:cs="方正仿宋_GBK"/>
          <w:color w:val="000000"/>
          <w:sz w:val="32"/>
          <w:szCs w:val="32"/>
        </w:rPr>
        <w:t>万元以上且增幅达到</w:t>
      </w:r>
      <w:r>
        <w:rPr>
          <w:rFonts w:ascii="Times New Roman" w:hAnsi="Times New Roman" w:eastAsia="方正仿宋_GBK" w:cs="方正仿宋_GBK"/>
          <w:color w:val="000000"/>
          <w:sz w:val="32"/>
          <w:szCs w:val="32"/>
        </w:rPr>
        <w:t>20%</w:t>
      </w:r>
      <w:r>
        <w:rPr>
          <w:rFonts w:hint="eastAsia" w:ascii="Times New Roman" w:hAnsi="Times New Roman" w:eastAsia="方正仿宋_GBK" w:cs="方正仿宋_GBK"/>
          <w:color w:val="000000"/>
          <w:sz w:val="32"/>
          <w:szCs w:val="32"/>
        </w:rPr>
        <w:t>以上的，分档择优给予最高20万元奖励。（核准类）</w:t>
      </w:r>
    </w:p>
    <w:p>
      <w:pPr>
        <w:pStyle w:val="16"/>
        <w:snapToGrid w:val="0"/>
        <w:spacing w:line="560" w:lineRule="exact"/>
        <w:ind w:firstLine="640" w:firstLineChars="200"/>
        <w:rPr>
          <w:rFonts w:ascii="Times New Roman" w:hAnsi="Times New Roman" w:eastAsia="方正仿宋_GBK" w:cs="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（2）</w:t>
      </w:r>
      <w:r>
        <w:rPr>
          <w:rFonts w:hint="eastAsia" w:ascii="Times New Roman" w:hAnsi="Times New Roman" w:eastAsia="方正仿宋_GBK" w:cs="方正仿宋_GBK"/>
          <w:sz w:val="32"/>
          <w:szCs w:val="32"/>
        </w:rPr>
        <w:t>对存量市级数字经济核心企业库的规上企业，当年营收5000万元以上且同比增长20%以上的，分档择优最高奖励50万元。（核准类）</w:t>
      </w:r>
    </w:p>
    <w:p>
      <w:pPr>
        <w:spacing w:after="0" w:line="560" w:lineRule="exact"/>
        <w:ind w:firstLine="640" w:firstLineChars="200"/>
        <w:rPr>
          <w:rFonts w:ascii="Times New Roman" w:hAnsi="Times New Roman" w:eastAsia="方正仿宋_GBK" w:cs="方正仿宋_GBK"/>
          <w:color w:val="FF0000"/>
          <w:sz w:val="32"/>
          <w:szCs w:val="32"/>
        </w:rPr>
      </w:pPr>
      <w:r>
        <w:rPr>
          <w:rFonts w:hint="eastAsia" w:ascii="Times New Roman" w:hAnsi="Times New Roman" w:eastAsia="方正仿宋_GBK" w:cs="方正仿宋_GBK"/>
          <w:color w:val="000000"/>
          <w:sz w:val="32"/>
          <w:szCs w:val="32"/>
        </w:rPr>
        <w:t>——（3）对首次列入江苏省规划布局内重点软件企业、省专精特新软件企业，给予最高50万元奖励。（核准类）</w:t>
      </w:r>
    </w:p>
    <w:p>
      <w:pPr>
        <w:autoSpaceDE w:val="0"/>
        <w:autoSpaceDN w:val="0"/>
        <w:spacing w:after="0" w:line="560" w:lineRule="exact"/>
        <w:ind w:firstLine="640" w:firstLineChars="200"/>
        <w:rPr>
          <w:rFonts w:ascii="Times New Roman" w:hAnsi="Times New Roman" w:eastAsia="方正仿宋_GBK" w:cs="方正仿宋_GBK"/>
          <w:color w:val="FF0000"/>
          <w:sz w:val="32"/>
          <w:szCs w:val="32"/>
        </w:rPr>
      </w:pPr>
      <w:r>
        <w:rPr>
          <w:rFonts w:ascii="Times New Roman" w:hAnsi="Times New Roman" w:eastAsia="方正仿宋_GBK" w:cs="方正仿宋_GBK"/>
          <w:color w:val="000000"/>
          <w:sz w:val="32"/>
          <w:szCs w:val="32"/>
        </w:rPr>
        <w:t>——</w:t>
      </w:r>
      <w:r>
        <w:rPr>
          <w:rFonts w:hint="eastAsia" w:ascii="Times New Roman" w:hAnsi="Times New Roman" w:eastAsia="方正仿宋_GBK" w:cs="Times New Roman"/>
          <w:color w:val="000000"/>
          <w:sz w:val="32"/>
          <w:szCs w:val="32"/>
        </w:rPr>
        <w:t>（4）</w:t>
      </w:r>
      <w:r>
        <w:rPr>
          <w:rFonts w:ascii="Times New Roman" w:hAnsi="Times New Roman" w:eastAsia="方正仿宋_GBK" w:cs="方正仿宋_GBK"/>
          <w:color w:val="000000"/>
          <w:sz w:val="32"/>
          <w:szCs w:val="32"/>
        </w:rPr>
        <w:t>对获得</w:t>
      </w:r>
      <w:r>
        <w:rPr>
          <w:rFonts w:hint="eastAsia" w:ascii="Times New Roman" w:hAnsi="Times New Roman" w:eastAsia="方正仿宋_GBK" w:cs="方正仿宋_GBK"/>
          <w:color w:val="000000"/>
          <w:sz w:val="32"/>
          <w:szCs w:val="32"/>
        </w:rPr>
        <w:t>工信部</w:t>
      </w:r>
      <w:r>
        <w:rPr>
          <w:rFonts w:ascii="Times New Roman" w:hAnsi="Times New Roman" w:eastAsia="方正仿宋_GBK" w:cs="方正仿宋_GBK"/>
          <w:color w:val="000000"/>
          <w:sz w:val="32"/>
          <w:szCs w:val="32"/>
        </w:rPr>
        <w:t>工业互联网平台试点示范的企业，给予最高50万元的奖励。（核准类）</w:t>
      </w:r>
    </w:p>
    <w:p>
      <w:pPr>
        <w:widowControl w:val="0"/>
        <w:spacing w:after="0" w:line="560" w:lineRule="exact"/>
        <w:ind w:firstLine="640" w:firstLineChars="200"/>
        <w:rPr>
          <w:rFonts w:ascii="方正黑体_GBK" w:eastAsia="方正黑体_GBK"/>
          <w:sz w:val="32"/>
          <w:szCs w:val="32"/>
        </w:rPr>
      </w:pPr>
      <w:r>
        <w:rPr>
          <w:rFonts w:hint="eastAsia" w:ascii="方正黑体_GBK" w:eastAsia="方正黑体_GBK"/>
          <w:sz w:val="32"/>
          <w:szCs w:val="32"/>
        </w:rPr>
        <w:t>以上政策归口部门：区工业和信息化局</w:t>
      </w:r>
    </w:p>
    <w:p>
      <w:pPr>
        <w:widowControl w:val="0"/>
        <w:spacing w:line="560" w:lineRule="exact"/>
        <w:ind w:firstLine="640" w:firstLineChars="200"/>
        <w:contextualSpacing/>
        <w:jc w:val="both"/>
        <w:rPr>
          <w:rFonts w:ascii="Times New Roman" w:hAnsi="Times New Roman" w:eastAsia="方正黑体_GBK" w:cs="Times New Roman"/>
          <w:bCs/>
          <w:sz w:val="32"/>
          <w:szCs w:val="19"/>
        </w:rPr>
      </w:pPr>
      <w:r>
        <w:rPr>
          <w:rFonts w:hint="eastAsia" w:ascii="Times New Roman" w:hAnsi="Times New Roman" w:eastAsia="方正黑体_GBK" w:cs="Times New Roman"/>
          <w:bCs/>
          <w:sz w:val="32"/>
          <w:szCs w:val="19"/>
        </w:rPr>
        <w:t>二</w:t>
      </w:r>
      <w:r>
        <w:rPr>
          <w:rFonts w:ascii="Times New Roman" w:hAnsi="Times New Roman" w:eastAsia="方正黑体_GBK" w:cs="Times New Roman"/>
          <w:bCs/>
          <w:sz w:val="32"/>
          <w:szCs w:val="19"/>
        </w:rPr>
        <w:t>、</w:t>
      </w:r>
      <w:r>
        <w:rPr>
          <w:rFonts w:hint="eastAsia" w:ascii="Times New Roman" w:hAnsi="Times New Roman" w:eastAsia="方正黑体_GBK" w:cs="Times New Roman"/>
          <w:bCs/>
          <w:sz w:val="32"/>
          <w:szCs w:val="19"/>
        </w:rPr>
        <w:t>激活商贸流通</w:t>
      </w:r>
    </w:p>
    <w:p>
      <w:pPr>
        <w:widowControl w:val="0"/>
        <w:spacing w:line="560" w:lineRule="exact"/>
        <w:ind w:firstLine="640" w:firstLineChars="200"/>
        <w:contextualSpacing/>
        <w:jc w:val="both"/>
        <w:rPr>
          <w:rFonts w:ascii="方正楷体_GBK" w:hAnsi="Times New Roman" w:eastAsia="方正楷体_GBK" w:cs="Times New Roman"/>
          <w:color w:val="000000"/>
          <w:sz w:val="32"/>
          <w:szCs w:val="32"/>
        </w:rPr>
      </w:pPr>
      <w:r>
        <w:rPr>
          <w:rFonts w:ascii="方正楷体_GBK" w:hAnsi="Times New Roman" w:eastAsia="方正楷体_GBK" w:cs="Times New Roman"/>
          <w:color w:val="000000"/>
          <w:sz w:val="32"/>
          <w:szCs w:val="32"/>
        </w:rPr>
        <w:t>4</w:t>
      </w:r>
      <w:r>
        <w:rPr>
          <w:rFonts w:hint="eastAsia" w:ascii="方正楷体_GBK" w:hAnsi="Times New Roman" w:eastAsia="方正楷体_GBK" w:cs="Times New Roman"/>
          <w:color w:val="000000"/>
          <w:sz w:val="32"/>
          <w:szCs w:val="32"/>
        </w:rPr>
        <w:t>. 做优做强楼宇经济</w:t>
      </w:r>
    </w:p>
    <w:p>
      <w:pPr>
        <w:widowControl w:val="0"/>
        <w:spacing w:line="560" w:lineRule="exact"/>
        <w:ind w:firstLine="640" w:firstLineChars="200"/>
        <w:contextualSpacing/>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对于区重点高税收楼宇，可遵循“一楼一策”原则，根据楼宇实际产出、企业招引等情况，在招商、运营、企业培育、租金等方面给予一定补贴。</w:t>
      </w:r>
      <w:r>
        <w:rPr>
          <w:rFonts w:ascii="Times New Roman" w:hAnsi="Times New Roman" w:eastAsia="方正仿宋_GBK" w:cs="Times New Roman"/>
          <w:color w:val="000000"/>
          <w:sz w:val="32"/>
          <w:szCs w:val="32"/>
        </w:rPr>
        <w:t>（评审类）</w:t>
      </w:r>
    </w:p>
    <w:p>
      <w:pPr>
        <w:widowControl w:val="0"/>
        <w:spacing w:line="560" w:lineRule="exact"/>
        <w:ind w:firstLine="640" w:firstLineChars="200"/>
        <w:contextualSpacing/>
        <w:jc w:val="both"/>
        <w:rPr>
          <w:rFonts w:ascii="方正楷体_GBK" w:hAnsi="Times New Roman" w:eastAsia="方正楷体_GBK" w:cs="Times New Roman"/>
          <w:color w:val="000000"/>
          <w:sz w:val="32"/>
          <w:szCs w:val="32"/>
        </w:rPr>
      </w:pPr>
      <w:r>
        <w:rPr>
          <w:rFonts w:ascii="方正楷体_GBK" w:hAnsi="Times New Roman" w:eastAsia="方正楷体_GBK" w:cs="Times New Roman"/>
          <w:color w:val="000000"/>
          <w:sz w:val="32"/>
          <w:szCs w:val="32"/>
        </w:rPr>
        <w:t>5</w:t>
      </w:r>
      <w:r>
        <w:rPr>
          <w:rFonts w:hint="eastAsia" w:ascii="方正楷体_GBK" w:hAnsi="Times New Roman" w:eastAsia="方正楷体_GBK" w:cs="Times New Roman"/>
          <w:color w:val="000000"/>
          <w:sz w:val="32"/>
          <w:szCs w:val="32"/>
        </w:rPr>
        <w:t>. 培育壮大首店经济</w:t>
      </w:r>
    </w:p>
    <w:p>
      <w:pPr>
        <w:widowControl w:val="0"/>
        <w:spacing w:line="560" w:lineRule="exact"/>
        <w:ind w:firstLine="640" w:firstLineChars="200"/>
        <w:contextualSpacing/>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（1）</w:t>
      </w:r>
      <w:r>
        <w:rPr>
          <w:rFonts w:ascii="Times New Roman" w:hAnsi="Times New Roman" w:eastAsia="方正仿宋_GBK" w:cs="Times New Roman"/>
          <w:color w:val="000000"/>
          <w:sz w:val="32"/>
          <w:szCs w:val="32"/>
        </w:rPr>
        <w:t>对</w:t>
      </w:r>
      <w:r>
        <w:rPr>
          <w:rFonts w:hint="eastAsia" w:ascii="Times New Roman" w:hAnsi="Times New Roman" w:eastAsia="方正仿宋_GBK" w:cs="Times New Roman"/>
          <w:color w:val="000000"/>
          <w:sz w:val="32"/>
          <w:szCs w:val="32"/>
        </w:rPr>
        <w:t>引入</w:t>
      </w:r>
      <w:r>
        <w:rPr>
          <w:rFonts w:ascii="Times New Roman" w:hAnsi="Times New Roman" w:eastAsia="方正仿宋_GBK" w:cs="Times New Roman"/>
          <w:color w:val="000000"/>
          <w:sz w:val="32"/>
          <w:szCs w:val="32"/>
        </w:rPr>
        <w:t>知名消费品牌在梁溪区开设市级以上首店，首年销售额（营业额）达到500万元并在本区注册独立法人的，经区商务局组织第三方评审认定，给予载体运营</w:t>
      </w:r>
      <w:r>
        <w:rPr>
          <w:rFonts w:hint="eastAsia" w:ascii="Times New Roman" w:hAnsi="Times New Roman" w:eastAsia="方正仿宋_GBK" w:cs="Times New Roman"/>
          <w:color w:val="000000"/>
          <w:sz w:val="32"/>
          <w:szCs w:val="32"/>
        </w:rPr>
        <w:t>方</w:t>
      </w:r>
      <w:r>
        <w:rPr>
          <w:rFonts w:ascii="Times New Roman" w:hAnsi="Times New Roman" w:eastAsia="方正仿宋_GBK" w:cs="Times New Roman"/>
          <w:color w:val="000000"/>
          <w:sz w:val="32"/>
          <w:szCs w:val="32"/>
        </w:rPr>
        <w:t>5万元的一次性奖励。（评审类）</w:t>
      </w:r>
    </w:p>
    <w:p>
      <w:pPr>
        <w:widowControl w:val="0"/>
        <w:spacing w:line="560" w:lineRule="exact"/>
        <w:ind w:firstLine="640" w:firstLineChars="200"/>
        <w:contextualSpacing/>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（2）对首次获评黑珍珠等国内外知名餐饮榜单的餐饮企业，给予运营管理机构最高10万元的一次性奖励。对非首次获评的餐饮企业，给予运营管理机构最高5万元的一次性奖励。</w:t>
      </w:r>
      <w:r>
        <w:rPr>
          <w:rFonts w:ascii="Times New Roman" w:hAnsi="Times New Roman" w:eastAsia="方正仿宋_GBK" w:cs="Times New Roman"/>
          <w:color w:val="000000"/>
          <w:sz w:val="32"/>
          <w:szCs w:val="32"/>
        </w:rPr>
        <w:t>（评审类）</w:t>
      </w:r>
    </w:p>
    <w:p>
      <w:pPr>
        <w:widowControl w:val="0"/>
        <w:spacing w:line="560" w:lineRule="exact"/>
        <w:ind w:firstLine="640" w:firstLineChars="200"/>
        <w:contextualSpacing/>
        <w:jc w:val="both"/>
        <w:rPr>
          <w:rFonts w:ascii="方正楷体_GBK" w:hAnsi="Times New Roman" w:eastAsia="方正楷体_GBK" w:cs="Times New Roman"/>
          <w:color w:val="000000"/>
          <w:sz w:val="32"/>
          <w:szCs w:val="32"/>
        </w:rPr>
      </w:pPr>
      <w:r>
        <w:rPr>
          <w:rFonts w:ascii="方正楷体_GBK" w:hAnsi="Times New Roman" w:eastAsia="方正楷体_GBK" w:cs="Times New Roman"/>
          <w:color w:val="000000"/>
          <w:sz w:val="32"/>
          <w:szCs w:val="32"/>
        </w:rPr>
        <w:t xml:space="preserve">6. </w:t>
      </w:r>
      <w:r>
        <w:rPr>
          <w:rFonts w:hint="eastAsia" w:ascii="方正楷体_GBK" w:hAnsi="Times New Roman" w:eastAsia="方正楷体_GBK" w:cs="Times New Roman"/>
          <w:color w:val="000000"/>
          <w:sz w:val="32"/>
          <w:szCs w:val="32"/>
        </w:rPr>
        <w:t>加快商贸服务业高质量发展</w:t>
      </w:r>
    </w:p>
    <w:p>
      <w:pPr>
        <w:widowControl w:val="0"/>
        <w:spacing w:line="560" w:lineRule="exact"/>
        <w:ind w:firstLine="640" w:firstLineChars="200"/>
        <w:contextualSpacing/>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（1）</w:t>
      </w:r>
      <w:r>
        <w:rPr>
          <w:rFonts w:ascii="Times New Roman" w:hAnsi="Times New Roman" w:eastAsia="方正仿宋_GBK" w:cs="Times New Roman"/>
          <w:color w:val="000000"/>
          <w:sz w:val="32"/>
          <w:szCs w:val="32"/>
        </w:rPr>
        <w:t>对推动商业综合体、专业市场、商业街区内的市场主体成立独立法人，并纳入纳限上贸易库统计的载体运营机构，每净增1家纳统企业，给予载体运营</w:t>
      </w:r>
      <w:r>
        <w:rPr>
          <w:rFonts w:hint="eastAsia" w:ascii="Times New Roman" w:hAnsi="Times New Roman" w:eastAsia="方正仿宋_GBK" w:cs="Times New Roman"/>
          <w:color w:val="000000"/>
          <w:sz w:val="32"/>
          <w:szCs w:val="32"/>
        </w:rPr>
        <w:t>方最高</w:t>
      </w:r>
      <w:r>
        <w:rPr>
          <w:rFonts w:ascii="Times New Roman" w:hAnsi="Times New Roman" w:eastAsia="方正仿宋_GBK" w:cs="Times New Roman"/>
          <w:color w:val="000000"/>
          <w:sz w:val="32"/>
          <w:szCs w:val="32"/>
        </w:rPr>
        <w:t>2万元的一次性奖励</w:t>
      </w:r>
      <w:r>
        <w:rPr>
          <w:rFonts w:hint="eastAsia" w:ascii="Times New Roman" w:hAnsi="Times New Roman" w:eastAsia="方正仿宋_GBK" w:cs="Times New Roman"/>
          <w:color w:val="000000"/>
          <w:sz w:val="32"/>
          <w:szCs w:val="32"/>
        </w:rPr>
        <w:t>。（核准类）</w:t>
      </w:r>
    </w:p>
    <w:p>
      <w:pPr>
        <w:widowControl w:val="0"/>
        <w:spacing w:line="560" w:lineRule="exact"/>
        <w:ind w:firstLine="640" w:firstLineChars="200"/>
        <w:contextualSpacing/>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（2）</w:t>
      </w:r>
      <w:r>
        <w:rPr>
          <w:rFonts w:ascii="Times New Roman" w:hAnsi="Times New Roman" w:eastAsia="方正仿宋_GBK" w:cs="Times New Roman"/>
          <w:color w:val="000000"/>
          <w:sz w:val="32"/>
          <w:szCs w:val="32"/>
        </w:rPr>
        <w:t>对商业综合体、商圈商街、专业市场建设智慧支付平台且归并销售收入，平台建成且验收合格者，给予最高30万元支持。对全年新增纳入统计零售额1亿元以上的平台，根据零售额达到1亿元、3亿元、5亿元分</w:t>
      </w:r>
      <w:r>
        <w:rPr>
          <w:rFonts w:hint="eastAsia" w:ascii="Times New Roman" w:hAnsi="Times New Roman" w:eastAsia="方正仿宋_GBK" w:cs="Times New Roman"/>
          <w:color w:val="000000"/>
          <w:sz w:val="32"/>
          <w:szCs w:val="32"/>
        </w:rPr>
        <w:t>档</w:t>
      </w:r>
      <w:r>
        <w:rPr>
          <w:rFonts w:ascii="Times New Roman" w:hAnsi="Times New Roman" w:eastAsia="方正仿宋_GBK" w:cs="Times New Roman"/>
          <w:color w:val="000000"/>
          <w:sz w:val="32"/>
          <w:szCs w:val="32"/>
        </w:rPr>
        <w:t>再给予平台</w:t>
      </w:r>
      <w:r>
        <w:rPr>
          <w:rFonts w:hint="eastAsia" w:ascii="Times New Roman" w:hAnsi="Times New Roman" w:eastAsia="方正仿宋_GBK" w:cs="Times New Roman"/>
          <w:color w:val="000000"/>
          <w:sz w:val="32"/>
          <w:szCs w:val="32"/>
        </w:rPr>
        <w:t>最高</w:t>
      </w:r>
      <w:r>
        <w:rPr>
          <w:rFonts w:ascii="Times New Roman" w:hAnsi="Times New Roman" w:eastAsia="方正仿宋_GBK" w:cs="Times New Roman"/>
          <w:color w:val="000000"/>
          <w:sz w:val="32"/>
          <w:szCs w:val="32"/>
        </w:rPr>
        <w:t>30万元、50万元、80万元的一次性奖励。（核准类）</w:t>
      </w:r>
    </w:p>
    <w:p>
      <w:pPr>
        <w:widowControl w:val="0"/>
        <w:spacing w:line="560" w:lineRule="exact"/>
        <w:ind w:firstLine="640" w:firstLineChars="200"/>
        <w:contextualSpacing/>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（3）</w:t>
      </w:r>
      <w:r>
        <w:rPr>
          <w:rFonts w:ascii="Times New Roman" w:hAnsi="Times New Roman" w:eastAsia="方正仿宋_GBK" w:cs="Times New Roman"/>
          <w:color w:val="000000"/>
          <w:sz w:val="32"/>
          <w:szCs w:val="32"/>
        </w:rPr>
        <w:t>对当年在梁溪区新设立法人主体并纳入统计（零售业当年销售额5000万元以上、住宿餐饮业当年营业额3000万元以上）的连锁经营企业，当年纳统销售额（营业额）达到5000万元、1亿元和3亿元的，分别给予</w:t>
      </w:r>
      <w:r>
        <w:rPr>
          <w:rFonts w:hint="eastAsia" w:ascii="Times New Roman" w:hAnsi="Times New Roman" w:eastAsia="方正仿宋_GBK" w:cs="Times New Roman"/>
          <w:color w:val="000000"/>
          <w:sz w:val="32"/>
          <w:szCs w:val="32"/>
        </w:rPr>
        <w:t>最高</w:t>
      </w:r>
      <w:r>
        <w:rPr>
          <w:rFonts w:ascii="Times New Roman" w:hAnsi="Times New Roman" w:eastAsia="方正仿宋_GBK" w:cs="Times New Roman"/>
          <w:color w:val="000000"/>
          <w:sz w:val="32"/>
          <w:szCs w:val="32"/>
        </w:rPr>
        <w:t>5万元、10万元、20万元的一次性奖励。对</w:t>
      </w:r>
      <w:r>
        <w:rPr>
          <w:rFonts w:hint="eastAsia" w:ascii="Times New Roman" w:hAnsi="Times New Roman" w:eastAsia="方正仿宋_GBK" w:cs="Times New Roman"/>
          <w:sz w:val="32"/>
          <w:szCs w:val="32"/>
        </w:rPr>
        <w:t>总店</w:t>
      </w:r>
      <w:r>
        <w:rPr>
          <w:rFonts w:ascii="Times New Roman" w:hAnsi="Times New Roman" w:eastAsia="方正仿宋_GBK" w:cs="Times New Roman"/>
          <w:sz w:val="32"/>
          <w:szCs w:val="32"/>
        </w:rPr>
        <w:t>设在梁溪区的独立核算连锁企业（连锁门店不少于10家），当</w:t>
      </w:r>
      <w:r>
        <w:rPr>
          <w:rFonts w:ascii="Times New Roman" w:hAnsi="Times New Roman" w:eastAsia="方正仿宋_GBK" w:cs="Times New Roman"/>
          <w:color w:val="000000"/>
          <w:sz w:val="32"/>
          <w:szCs w:val="32"/>
        </w:rPr>
        <w:t>年每净增一家年销售额不低于200万元且数据归集总部的门店</w:t>
      </w:r>
      <w:r>
        <w:rPr>
          <w:rFonts w:hint="eastAsia" w:ascii="Times New Roman" w:hAnsi="Times New Roman" w:eastAsia="方正仿宋_GBK" w:cs="Times New Roman"/>
          <w:color w:val="000000"/>
          <w:sz w:val="32"/>
          <w:szCs w:val="32"/>
        </w:rPr>
        <w:t>，给予</w:t>
      </w:r>
      <w:r>
        <w:rPr>
          <w:rFonts w:ascii="Times New Roman" w:hAnsi="Times New Roman" w:eastAsia="方正仿宋_GBK" w:cs="Times New Roman"/>
          <w:color w:val="000000"/>
          <w:sz w:val="32"/>
          <w:szCs w:val="32"/>
        </w:rPr>
        <w:t>奖励2万元，</w:t>
      </w:r>
      <w:r>
        <w:rPr>
          <w:rFonts w:hint="eastAsia" w:ascii="Times New Roman" w:hAnsi="Times New Roman" w:eastAsia="方正仿宋_GBK" w:cs="Times New Roman"/>
          <w:color w:val="000000"/>
          <w:sz w:val="32"/>
          <w:szCs w:val="32"/>
        </w:rPr>
        <w:t>总计</w:t>
      </w:r>
      <w:r>
        <w:rPr>
          <w:rFonts w:ascii="Times New Roman" w:hAnsi="Times New Roman" w:eastAsia="方正仿宋_GBK" w:cs="Times New Roman"/>
          <w:color w:val="000000"/>
          <w:sz w:val="32"/>
          <w:szCs w:val="32"/>
        </w:rPr>
        <w:t>最高50万元。（核准类）</w:t>
      </w:r>
    </w:p>
    <w:p>
      <w:pPr>
        <w:widowControl w:val="0"/>
        <w:spacing w:line="560" w:lineRule="exact"/>
        <w:ind w:firstLine="640" w:firstLineChars="200"/>
        <w:contextualSpacing/>
        <w:rPr>
          <w:rFonts w:ascii="方正黑体_GBK" w:eastAsia="方正黑体_GBK"/>
          <w:sz w:val="32"/>
          <w:szCs w:val="32"/>
        </w:rPr>
      </w:pPr>
      <w:r>
        <w:rPr>
          <w:rFonts w:hint="eastAsia" w:ascii="方正黑体_GBK" w:eastAsia="方正黑体_GBK"/>
          <w:sz w:val="32"/>
          <w:szCs w:val="32"/>
        </w:rPr>
        <w:t>以上政策归口部门：区商务局</w:t>
      </w:r>
    </w:p>
    <w:p>
      <w:pPr>
        <w:widowControl w:val="0"/>
        <w:spacing w:line="560" w:lineRule="exact"/>
        <w:ind w:firstLine="640" w:firstLineChars="200"/>
        <w:contextualSpacing/>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4</w:t>
      </w:r>
      <w:r>
        <w:rPr>
          <w:rFonts w:hint="eastAsia" w:ascii="Times New Roman" w:hAnsi="Times New Roman" w:eastAsia="方正仿宋_GBK" w:cs="Times New Roman"/>
          <w:color w:val="000000"/>
          <w:sz w:val="32"/>
          <w:szCs w:val="32"/>
        </w:rPr>
        <w:t>）对在梁溪区经营纳税的存量及月度新增入库批发企业，2023年应税销售额达到一定数额的，按应税销售额的一定比例给子企业扶持。（核准类）</w:t>
      </w:r>
    </w:p>
    <w:p>
      <w:pPr>
        <w:widowControl w:val="0"/>
        <w:spacing w:line="560" w:lineRule="exact"/>
        <w:ind w:firstLine="640" w:firstLineChars="200"/>
        <w:contextualSpacing/>
        <w:rPr>
          <w:rFonts w:ascii="方正黑体_GBK" w:eastAsia="方正黑体_GBK"/>
          <w:sz w:val="32"/>
          <w:szCs w:val="32"/>
        </w:rPr>
      </w:pPr>
      <w:r>
        <w:rPr>
          <w:rFonts w:hint="eastAsia" w:ascii="方正黑体_GBK" w:eastAsia="方正黑体_GBK"/>
          <w:sz w:val="32"/>
          <w:szCs w:val="32"/>
        </w:rPr>
        <w:t>以上政策归口部门：区财政局、区商务局、区税务局</w:t>
      </w:r>
    </w:p>
    <w:p>
      <w:pPr>
        <w:widowControl w:val="0"/>
        <w:spacing w:line="560" w:lineRule="exact"/>
        <w:ind w:firstLine="640" w:firstLineChars="200"/>
        <w:contextualSpacing/>
        <w:jc w:val="both"/>
        <w:rPr>
          <w:rFonts w:ascii="Times New Roman" w:hAnsi="Times New Roman" w:eastAsia="方正黑体_GBK" w:cs="Times New Roman"/>
          <w:bCs/>
          <w:sz w:val="32"/>
          <w:szCs w:val="19"/>
        </w:rPr>
      </w:pPr>
      <w:r>
        <w:rPr>
          <w:rFonts w:hint="eastAsia" w:ascii="Times New Roman" w:hAnsi="Times New Roman" w:eastAsia="方正黑体_GBK" w:cs="Times New Roman"/>
          <w:bCs/>
          <w:sz w:val="32"/>
          <w:szCs w:val="19"/>
        </w:rPr>
        <w:t>三</w:t>
      </w:r>
      <w:r>
        <w:rPr>
          <w:rFonts w:ascii="Times New Roman" w:hAnsi="Times New Roman" w:eastAsia="方正黑体_GBK" w:cs="Times New Roman"/>
          <w:bCs/>
          <w:sz w:val="32"/>
          <w:szCs w:val="19"/>
        </w:rPr>
        <w:t>、</w:t>
      </w:r>
      <w:r>
        <w:rPr>
          <w:rFonts w:hint="eastAsia" w:ascii="Times New Roman" w:hAnsi="Times New Roman" w:eastAsia="方正黑体_GBK" w:cs="Times New Roman"/>
          <w:bCs/>
          <w:sz w:val="32"/>
          <w:szCs w:val="19"/>
        </w:rPr>
        <w:t>提振现代文旅</w:t>
      </w:r>
    </w:p>
    <w:p>
      <w:pPr>
        <w:widowControl w:val="0"/>
        <w:spacing w:line="560" w:lineRule="exact"/>
        <w:ind w:firstLine="640" w:firstLineChars="200"/>
        <w:contextualSpacing/>
        <w:jc w:val="both"/>
        <w:rPr>
          <w:rFonts w:ascii="方正楷体_GBK" w:hAnsi="Times New Roman" w:eastAsia="方正楷体_GBK" w:cs="Times New Roman"/>
          <w:color w:val="000000"/>
          <w:sz w:val="32"/>
          <w:szCs w:val="32"/>
        </w:rPr>
      </w:pPr>
      <w:r>
        <w:rPr>
          <w:rFonts w:ascii="方正楷体_GBK" w:hAnsi="Times New Roman" w:eastAsia="方正楷体_GBK" w:cs="Times New Roman"/>
          <w:color w:val="000000"/>
          <w:sz w:val="32"/>
          <w:szCs w:val="32"/>
        </w:rPr>
        <w:t xml:space="preserve">7. </w:t>
      </w:r>
      <w:r>
        <w:rPr>
          <w:rFonts w:hint="eastAsia" w:ascii="方正楷体_GBK" w:hAnsi="Times New Roman" w:eastAsia="方正楷体_GBK" w:cs="Times New Roman"/>
          <w:color w:val="000000"/>
          <w:sz w:val="32"/>
          <w:szCs w:val="32"/>
        </w:rPr>
        <w:t>支持壮大文化科技企业</w:t>
      </w:r>
    </w:p>
    <w:p>
      <w:pPr>
        <w:widowControl w:val="0"/>
        <w:spacing w:line="560" w:lineRule="exact"/>
        <w:ind w:firstLine="640" w:firstLineChars="200"/>
        <w:contextualSpacing/>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对新列入江苏省重点文化科技企业名单的规上文化企业，给予最高</w:t>
      </w:r>
      <w:r>
        <w:rPr>
          <w:rFonts w:ascii="Times New Roman" w:hAnsi="Times New Roman" w:eastAsia="方正仿宋_GBK" w:cs="Times New Roman"/>
          <w:color w:val="000000"/>
          <w:sz w:val="32"/>
          <w:szCs w:val="32"/>
        </w:rPr>
        <w:t>10</w:t>
      </w:r>
      <w:r>
        <w:rPr>
          <w:rFonts w:hint="eastAsia" w:ascii="Times New Roman" w:hAnsi="Times New Roman" w:eastAsia="方正仿宋_GBK" w:cs="Times New Roman"/>
          <w:color w:val="000000"/>
          <w:sz w:val="32"/>
          <w:szCs w:val="32"/>
        </w:rPr>
        <w:t>万元的一次性补助。</w:t>
      </w: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核准</w:t>
      </w:r>
      <w:r>
        <w:rPr>
          <w:rFonts w:ascii="Times New Roman" w:hAnsi="Times New Roman" w:eastAsia="方正仿宋_GBK" w:cs="Times New Roman"/>
          <w:color w:val="000000"/>
          <w:sz w:val="32"/>
          <w:szCs w:val="32"/>
        </w:rPr>
        <w:t>类）</w:t>
      </w:r>
    </w:p>
    <w:p>
      <w:pPr>
        <w:widowControl w:val="0"/>
        <w:spacing w:line="560" w:lineRule="exact"/>
        <w:ind w:firstLine="640" w:firstLineChars="200"/>
        <w:contextualSpacing/>
        <w:jc w:val="both"/>
        <w:rPr>
          <w:rFonts w:ascii="方正楷体_GBK" w:hAnsi="Times New Roman" w:eastAsia="方正楷体_GBK" w:cs="Times New Roman"/>
          <w:color w:val="000000"/>
          <w:sz w:val="32"/>
          <w:szCs w:val="32"/>
        </w:rPr>
      </w:pPr>
      <w:r>
        <w:rPr>
          <w:rFonts w:ascii="方正楷体_GBK" w:hAnsi="Times New Roman" w:eastAsia="方正楷体_GBK" w:cs="Times New Roman"/>
          <w:color w:val="000000"/>
          <w:sz w:val="32"/>
          <w:szCs w:val="32"/>
        </w:rPr>
        <w:t xml:space="preserve">8. </w:t>
      </w:r>
      <w:r>
        <w:rPr>
          <w:rFonts w:hint="eastAsia" w:ascii="方正楷体_GBK" w:hAnsi="Times New Roman" w:eastAsia="方正楷体_GBK" w:cs="Times New Roman"/>
          <w:color w:val="000000"/>
          <w:sz w:val="32"/>
          <w:szCs w:val="32"/>
        </w:rPr>
        <w:t>鼓励旅游业恢复增长</w:t>
      </w:r>
    </w:p>
    <w:p>
      <w:pPr>
        <w:widowControl w:val="0"/>
        <w:spacing w:line="560" w:lineRule="exact"/>
        <w:ind w:firstLine="640" w:firstLineChars="200"/>
        <w:contextualSpacing/>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color w:val="000000"/>
          <w:sz w:val="32"/>
          <w:szCs w:val="32"/>
        </w:rPr>
        <w:t>（</w:t>
      </w:r>
      <w:r>
        <w:rPr>
          <w:rFonts w:ascii="Times New Roman" w:hAnsi="Times New Roman" w:eastAsia="方正仿宋_GBK" w:cs="Times New Roman"/>
          <w:color w:val="000000"/>
          <w:sz w:val="32"/>
          <w:szCs w:val="32"/>
        </w:rPr>
        <w:t>1</w:t>
      </w:r>
      <w:r>
        <w:rPr>
          <w:rFonts w:hint="eastAsia" w:ascii="Times New Roman" w:hAnsi="Times New Roman" w:eastAsia="方正仿宋_GBK" w:cs="Times New Roman"/>
          <w:color w:val="000000"/>
          <w:sz w:val="32"/>
          <w:szCs w:val="32"/>
        </w:rPr>
        <w:t>）当年接待在梁溪区内旅游超过2000人次以上的旅行社，按每人5元补助，最高</w:t>
      </w:r>
      <w:r>
        <w:rPr>
          <w:rFonts w:ascii="Times New Roman" w:hAnsi="Times New Roman" w:eastAsia="方正仿宋_GBK" w:cs="Times New Roman"/>
          <w:color w:val="000000"/>
          <w:sz w:val="32"/>
          <w:szCs w:val="32"/>
        </w:rPr>
        <w:t>3</w:t>
      </w:r>
      <w:r>
        <w:rPr>
          <w:rFonts w:hint="eastAsia" w:ascii="Times New Roman" w:hAnsi="Times New Roman" w:eastAsia="方正仿宋_GBK" w:cs="Times New Roman"/>
          <w:color w:val="000000"/>
          <w:sz w:val="32"/>
          <w:szCs w:val="32"/>
        </w:rPr>
        <w:t>0万元；当年接待在梁溪区内住宿超过2000人次以上的旅行社，按每人10元补助，最高</w:t>
      </w:r>
      <w:r>
        <w:rPr>
          <w:rFonts w:ascii="Times New Roman" w:hAnsi="Times New Roman" w:eastAsia="方正仿宋_GBK" w:cs="Times New Roman"/>
          <w:color w:val="000000"/>
          <w:sz w:val="32"/>
          <w:szCs w:val="32"/>
        </w:rPr>
        <w:t>5</w:t>
      </w:r>
      <w:r>
        <w:rPr>
          <w:rFonts w:hint="eastAsia" w:ascii="Times New Roman" w:hAnsi="Times New Roman" w:eastAsia="方正仿宋_GBK" w:cs="Times New Roman"/>
          <w:color w:val="000000"/>
          <w:sz w:val="32"/>
          <w:szCs w:val="32"/>
        </w:rPr>
        <w:t>0万元。</w:t>
      </w:r>
      <w:r>
        <w:rPr>
          <w:rFonts w:ascii="Times New Roman" w:hAnsi="Times New Roman" w:eastAsia="方正仿宋_GBK" w:cs="Times New Roman"/>
          <w:sz w:val="32"/>
          <w:szCs w:val="19"/>
        </w:rPr>
        <w:t>（评审类</w:t>
      </w:r>
      <w:r>
        <w:rPr>
          <w:rFonts w:hint="eastAsia" w:ascii="Times New Roman" w:hAnsi="Times New Roman" w:eastAsia="方正仿宋_GBK" w:cs="Times New Roman"/>
          <w:sz w:val="32"/>
          <w:szCs w:val="19"/>
        </w:rPr>
        <w:t>）</w:t>
      </w:r>
    </w:p>
    <w:p>
      <w:pPr>
        <w:widowControl w:val="0"/>
        <w:spacing w:line="560" w:lineRule="exact"/>
        <w:ind w:firstLine="640" w:firstLineChars="200"/>
        <w:contextualSpacing/>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19"/>
        </w:rPr>
        <w:t>对现有规上</w:t>
      </w:r>
      <w:r>
        <w:rPr>
          <w:rFonts w:hint="eastAsia" w:ascii="Times New Roman" w:hAnsi="Times New Roman" w:eastAsia="方正仿宋_GBK" w:cs="Times New Roman"/>
          <w:sz w:val="32"/>
          <w:szCs w:val="19"/>
        </w:rPr>
        <w:t>旅行社</w:t>
      </w:r>
      <w:r>
        <w:rPr>
          <w:rFonts w:ascii="Times New Roman" w:hAnsi="Times New Roman" w:eastAsia="方正仿宋_GBK" w:cs="Times New Roman"/>
          <w:sz w:val="32"/>
          <w:szCs w:val="19"/>
        </w:rPr>
        <w:t>企业，连续两年营收增速在20%-50%的，按照增加值的一定比例，给予最高30万元补贴</w:t>
      </w:r>
      <w:r>
        <w:rPr>
          <w:rFonts w:hint="eastAsia" w:ascii="Times New Roman" w:hAnsi="Times New Roman" w:eastAsia="方正仿宋_GBK" w:cs="Times New Roman"/>
          <w:sz w:val="32"/>
          <w:szCs w:val="19"/>
        </w:rPr>
        <w:t>；</w:t>
      </w:r>
      <w:r>
        <w:rPr>
          <w:rFonts w:ascii="Times New Roman" w:hAnsi="Times New Roman" w:eastAsia="方正仿宋_GBK" w:cs="Times New Roman"/>
          <w:sz w:val="32"/>
          <w:szCs w:val="19"/>
        </w:rPr>
        <w:t>对现有规上</w:t>
      </w:r>
      <w:r>
        <w:rPr>
          <w:rFonts w:hint="eastAsia" w:ascii="Times New Roman" w:hAnsi="Times New Roman" w:eastAsia="方正仿宋_GBK" w:cs="Times New Roman"/>
          <w:sz w:val="32"/>
          <w:szCs w:val="19"/>
        </w:rPr>
        <w:t>旅行社</w:t>
      </w:r>
      <w:r>
        <w:rPr>
          <w:rFonts w:ascii="Times New Roman" w:hAnsi="Times New Roman" w:eastAsia="方正仿宋_GBK" w:cs="Times New Roman"/>
          <w:sz w:val="32"/>
          <w:szCs w:val="19"/>
        </w:rPr>
        <w:t>企业（景区）营业收入首次突破1亿元的，经认定，按照增加值的一定比例，给予最高30万元奖励</w:t>
      </w:r>
      <w:r>
        <w:rPr>
          <w:rFonts w:hint="eastAsia" w:ascii="Times New Roman" w:hAnsi="Times New Roman" w:eastAsia="方正仿宋_GBK" w:cs="Times New Roman"/>
          <w:sz w:val="32"/>
          <w:szCs w:val="19"/>
        </w:rPr>
        <w:t>。</w:t>
      </w:r>
      <w:r>
        <w:rPr>
          <w:rFonts w:ascii="Times New Roman" w:hAnsi="Times New Roman" w:eastAsia="方正仿宋_GBK" w:cs="Times New Roman"/>
          <w:sz w:val="32"/>
          <w:szCs w:val="19"/>
        </w:rPr>
        <w:t>（评审类</w:t>
      </w:r>
      <w:r>
        <w:rPr>
          <w:rFonts w:hint="eastAsia" w:ascii="Times New Roman" w:hAnsi="Times New Roman" w:eastAsia="方正仿宋_GBK" w:cs="Times New Roman"/>
          <w:sz w:val="32"/>
          <w:szCs w:val="19"/>
        </w:rPr>
        <w:t>）</w:t>
      </w:r>
    </w:p>
    <w:p>
      <w:pPr>
        <w:widowControl w:val="0"/>
        <w:spacing w:line="560" w:lineRule="exact"/>
        <w:ind w:firstLine="640" w:firstLineChars="200"/>
        <w:contextualSpacing/>
        <w:rPr>
          <w:rFonts w:ascii="方正黑体_GBK" w:eastAsia="方正黑体_GBK"/>
          <w:sz w:val="32"/>
          <w:szCs w:val="32"/>
        </w:rPr>
      </w:pPr>
      <w:r>
        <w:rPr>
          <w:rFonts w:hint="eastAsia" w:ascii="方正黑体_GBK" w:eastAsia="方正黑体_GBK"/>
          <w:sz w:val="32"/>
          <w:szCs w:val="32"/>
        </w:rPr>
        <w:t>以上政策归口部门：区文体旅游局</w:t>
      </w:r>
    </w:p>
    <w:p>
      <w:pPr>
        <w:widowControl w:val="0"/>
        <w:spacing w:line="560" w:lineRule="exact"/>
        <w:ind w:firstLine="640" w:firstLineChars="200"/>
        <w:contextualSpacing/>
        <w:jc w:val="both"/>
        <w:rPr>
          <w:rFonts w:ascii="Times New Roman" w:hAnsi="Times New Roman" w:eastAsia="方正黑体_GBK" w:cs="Times New Roman"/>
          <w:bCs/>
          <w:sz w:val="32"/>
          <w:szCs w:val="19"/>
        </w:rPr>
      </w:pPr>
      <w:r>
        <w:rPr>
          <w:rFonts w:hint="eastAsia" w:ascii="Times New Roman" w:hAnsi="Times New Roman" w:eastAsia="方正黑体_GBK" w:cs="Times New Roman"/>
          <w:bCs/>
          <w:sz w:val="32"/>
          <w:szCs w:val="19"/>
        </w:rPr>
        <w:t>四</w:t>
      </w:r>
      <w:r>
        <w:rPr>
          <w:rFonts w:ascii="Times New Roman" w:hAnsi="Times New Roman" w:eastAsia="方正黑体_GBK" w:cs="Times New Roman"/>
          <w:bCs/>
          <w:sz w:val="32"/>
          <w:szCs w:val="19"/>
        </w:rPr>
        <w:t>、</w:t>
      </w:r>
      <w:r>
        <w:rPr>
          <w:rFonts w:hint="eastAsia" w:ascii="Times New Roman" w:hAnsi="Times New Roman" w:eastAsia="方正黑体_GBK" w:cs="Times New Roman"/>
          <w:bCs/>
          <w:sz w:val="32"/>
          <w:szCs w:val="19"/>
        </w:rPr>
        <w:t>鼓励科技创新</w:t>
      </w:r>
    </w:p>
    <w:p>
      <w:pPr>
        <w:widowControl w:val="0"/>
        <w:spacing w:line="560" w:lineRule="exact"/>
        <w:ind w:firstLine="640" w:firstLineChars="200"/>
        <w:contextualSpacing/>
        <w:rPr>
          <w:rFonts w:ascii="Times New Roman" w:hAnsi="Times New Roman" w:eastAsia="方正楷体_GBK" w:cs="Times New Roman"/>
          <w:sz w:val="32"/>
          <w:szCs w:val="19"/>
        </w:rPr>
      </w:pPr>
      <w:r>
        <w:rPr>
          <w:rFonts w:ascii="Times New Roman" w:hAnsi="Times New Roman" w:eastAsia="方正楷体_GBK" w:cs="Times New Roman"/>
          <w:sz w:val="32"/>
          <w:szCs w:val="19"/>
        </w:rPr>
        <w:t>9</w:t>
      </w:r>
      <w:r>
        <w:rPr>
          <w:rFonts w:hint="eastAsia" w:ascii="Times New Roman" w:hAnsi="Times New Roman" w:eastAsia="方正楷体_GBK" w:cs="Times New Roman"/>
          <w:sz w:val="32"/>
          <w:szCs w:val="19"/>
        </w:rPr>
        <w:t>.支持企业科技创新</w:t>
      </w:r>
    </w:p>
    <w:p>
      <w:pPr>
        <w:widowControl w:val="0"/>
        <w:spacing w:line="560" w:lineRule="exact"/>
        <w:ind w:firstLine="640" w:firstLineChars="200"/>
        <w:contextualSpacing/>
        <w:rPr>
          <w:rFonts w:ascii="Times New Roman" w:hAnsi="Times New Roman" w:eastAsia="方正仿宋_GBK"/>
          <w:sz w:val="32"/>
        </w:rPr>
      </w:pPr>
      <w:r>
        <w:rPr>
          <w:rFonts w:hint="eastAsia" w:ascii="Times New Roman" w:hAnsi="Times New Roman" w:eastAsia="方正楷体_GBK" w:cs="Times New Roman"/>
          <w:sz w:val="32"/>
          <w:szCs w:val="19"/>
        </w:rPr>
        <w:t>——</w:t>
      </w:r>
      <w:r>
        <w:rPr>
          <w:rFonts w:hint="eastAsia" w:ascii="Times New Roman" w:hAnsi="Times New Roman" w:eastAsia="方正仿宋_GBK"/>
          <w:sz w:val="32"/>
        </w:rPr>
        <w:t>对当年获批科技副总项目企业奖励5万元；对当年新增省级、市级院士工作站，分别给予最高100、5</w:t>
      </w:r>
      <w:r>
        <w:rPr>
          <w:rFonts w:ascii="Times New Roman" w:hAnsi="Times New Roman" w:eastAsia="方正仿宋_GBK"/>
          <w:sz w:val="32"/>
        </w:rPr>
        <w:t>0</w:t>
      </w:r>
      <w:r>
        <w:rPr>
          <w:rFonts w:hint="eastAsia" w:ascii="Times New Roman" w:hAnsi="Times New Roman" w:eastAsia="方正仿宋_GBK"/>
          <w:sz w:val="32"/>
        </w:rPr>
        <w:t>万元的奖励。（核准类）</w:t>
      </w:r>
    </w:p>
    <w:p>
      <w:pPr>
        <w:widowControl w:val="0"/>
        <w:spacing w:line="560" w:lineRule="exact"/>
        <w:ind w:firstLine="640" w:firstLineChars="200"/>
        <w:contextualSpacing/>
        <w:rPr>
          <w:rFonts w:ascii="Times New Roman" w:hAnsi="Times New Roman" w:eastAsia="方正楷体_GBK" w:cs="Times New Roman"/>
          <w:sz w:val="32"/>
          <w:szCs w:val="19"/>
        </w:rPr>
      </w:pPr>
      <w:r>
        <w:rPr>
          <w:rFonts w:ascii="Times New Roman" w:hAnsi="Times New Roman" w:eastAsia="方正楷体_GBK" w:cs="Times New Roman"/>
          <w:sz w:val="32"/>
          <w:szCs w:val="19"/>
        </w:rPr>
        <w:t>10</w:t>
      </w:r>
      <w:r>
        <w:rPr>
          <w:rFonts w:hint="eastAsia" w:ascii="Times New Roman" w:hAnsi="Times New Roman" w:eastAsia="方正楷体_GBK" w:cs="Times New Roman"/>
          <w:sz w:val="32"/>
          <w:szCs w:val="19"/>
        </w:rPr>
        <w:t>.支持新型研发机构落地</w:t>
      </w:r>
    </w:p>
    <w:p>
      <w:pPr>
        <w:widowControl w:val="0"/>
        <w:spacing w:line="560" w:lineRule="exact"/>
        <w:ind w:firstLine="640" w:firstLineChars="200"/>
        <w:contextualSpacing/>
        <w:rPr>
          <w:rFonts w:ascii="Times New Roman" w:hAnsi="Times New Roman" w:eastAsia="方正仿宋_GBK" w:cs="Times New Roman"/>
          <w:sz w:val="32"/>
          <w:szCs w:val="32"/>
        </w:rPr>
      </w:pPr>
      <w:r>
        <w:rPr>
          <w:rFonts w:hint="eastAsia" w:ascii="Times New Roman" w:hAnsi="Times New Roman" w:eastAsia="方正楷体_GBK" w:cs="Times New Roman"/>
          <w:sz w:val="32"/>
          <w:szCs w:val="19"/>
        </w:rPr>
        <w:t>——</w:t>
      </w:r>
      <w:r>
        <w:rPr>
          <w:rFonts w:hint="eastAsia" w:ascii="Times New Roman" w:hAnsi="Times New Roman" w:eastAsia="方正仿宋_GBK"/>
          <w:sz w:val="32"/>
        </w:rPr>
        <w:t>对当年新增的新型研发机构纳入“一事一议”，给予场地、运营补助和绩效奖励。（评审类）</w:t>
      </w:r>
    </w:p>
    <w:p>
      <w:pPr>
        <w:widowControl w:val="0"/>
        <w:spacing w:line="560" w:lineRule="exact"/>
        <w:ind w:firstLine="640" w:firstLineChars="200"/>
        <w:contextualSpacing/>
        <w:jc w:val="both"/>
        <w:rPr>
          <w:rFonts w:ascii="Times New Roman" w:hAnsi="Times New Roman" w:eastAsia="方正楷体_GBK" w:cs="Times New Roman"/>
          <w:sz w:val="32"/>
          <w:szCs w:val="19"/>
        </w:rPr>
      </w:pPr>
      <w:r>
        <w:rPr>
          <w:rFonts w:hint="eastAsia" w:ascii="Times New Roman" w:hAnsi="Times New Roman" w:eastAsia="方正楷体_GBK" w:cs="Times New Roman"/>
          <w:sz w:val="32"/>
          <w:szCs w:val="19"/>
        </w:rPr>
        <w:t>1</w:t>
      </w:r>
      <w:r>
        <w:rPr>
          <w:rFonts w:ascii="Times New Roman" w:hAnsi="Times New Roman" w:eastAsia="方正楷体_GBK" w:cs="Times New Roman"/>
          <w:sz w:val="32"/>
          <w:szCs w:val="19"/>
        </w:rPr>
        <w:t xml:space="preserve">1. </w:t>
      </w:r>
      <w:r>
        <w:rPr>
          <w:rFonts w:hint="eastAsia" w:ascii="Times New Roman" w:hAnsi="Times New Roman" w:eastAsia="方正楷体_GBK" w:cs="Times New Roman"/>
          <w:sz w:val="32"/>
          <w:szCs w:val="19"/>
        </w:rPr>
        <w:t>发挥创新创业人才团队引领作用</w:t>
      </w:r>
    </w:p>
    <w:p>
      <w:pPr>
        <w:widowControl w:val="0"/>
        <w:spacing w:line="560" w:lineRule="exact"/>
        <w:ind w:firstLine="640" w:firstLineChars="200"/>
        <w:contextualSpacing/>
        <w:jc w:val="both"/>
        <w:rPr>
          <w:rFonts w:ascii="Times New Roman" w:hAnsi="Times New Roman" w:eastAsia="方正仿宋_GBK" w:cs="Times New Roman"/>
          <w:sz w:val="32"/>
          <w:szCs w:val="19"/>
        </w:rPr>
      </w:pPr>
      <w:r>
        <w:rPr>
          <w:rFonts w:ascii="Times New Roman" w:hAnsi="Times New Roman" w:eastAsia="方正楷体_GBK" w:cs="Times New Roman"/>
          <w:sz w:val="32"/>
          <w:szCs w:val="19"/>
        </w:rPr>
        <w:t>——</w:t>
      </w:r>
      <w:r>
        <w:rPr>
          <w:rFonts w:hint="eastAsia" w:ascii="Times New Roman" w:hAnsi="Times New Roman" w:eastAsia="方正仿宋_GBK" w:cs="Times New Roman"/>
          <w:color w:val="000000"/>
          <w:sz w:val="32"/>
          <w:szCs w:val="32"/>
        </w:rPr>
        <w:t>对于为区域产业发展带来巨大经济和社会效益的创新创业团队或战略科学家，可通过</w:t>
      </w:r>
      <w:r>
        <w:rPr>
          <w:rFonts w:hint="eastAsia" w:ascii="Times New Roman" w:hAnsi="Times New Roman" w:eastAsia="方正仿宋_GBK"/>
          <w:sz w:val="32"/>
        </w:rPr>
        <w:t>“一事一议”</w:t>
      </w:r>
      <w:r>
        <w:rPr>
          <w:rFonts w:hint="eastAsia" w:ascii="Times New Roman" w:hAnsi="Times New Roman" w:eastAsia="方正仿宋_GBK" w:cs="Times New Roman"/>
          <w:color w:val="000000"/>
          <w:sz w:val="32"/>
          <w:szCs w:val="32"/>
        </w:rPr>
        <w:t>方式引进，根据需要确定扶持标准，给予政策扶持。</w:t>
      </w:r>
      <w:r>
        <w:rPr>
          <w:rFonts w:ascii="Times New Roman" w:hAnsi="Times New Roman" w:eastAsia="方正仿宋_GBK" w:cs="Times New Roman"/>
          <w:sz w:val="32"/>
          <w:szCs w:val="32"/>
        </w:rPr>
        <w:t>（评审类）</w:t>
      </w:r>
    </w:p>
    <w:p>
      <w:pPr>
        <w:widowControl w:val="0"/>
        <w:spacing w:line="560" w:lineRule="exact"/>
        <w:ind w:firstLine="640" w:firstLineChars="200"/>
        <w:contextualSpacing/>
        <w:rPr>
          <w:rFonts w:ascii="方正黑体_GBK" w:eastAsia="方正黑体_GBK"/>
          <w:sz w:val="32"/>
          <w:szCs w:val="32"/>
        </w:rPr>
      </w:pPr>
      <w:r>
        <w:rPr>
          <w:rFonts w:hint="eastAsia" w:ascii="方正黑体_GBK" w:eastAsia="方正黑体_GBK"/>
          <w:sz w:val="32"/>
          <w:szCs w:val="32"/>
        </w:rPr>
        <w:t>以上政策归口部门：区科技局</w:t>
      </w:r>
    </w:p>
    <w:p>
      <w:pPr>
        <w:widowControl w:val="0"/>
        <w:spacing w:line="560" w:lineRule="exact"/>
        <w:ind w:firstLine="640" w:firstLineChars="200"/>
        <w:contextualSpacing/>
        <w:jc w:val="both"/>
        <w:rPr>
          <w:rFonts w:ascii="Times New Roman" w:hAnsi="Times New Roman" w:eastAsia="方正楷体_GBK" w:cs="Times New Roman"/>
          <w:sz w:val="32"/>
          <w:szCs w:val="19"/>
        </w:rPr>
      </w:pPr>
      <w:r>
        <w:rPr>
          <w:rFonts w:ascii="Times New Roman" w:hAnsi="Times New Roman" w:eastAsia="方正楷体_GBK" w:cs="Times New Roman"/>
          <w:sz w:val="32"/>
          <w:szCs w:val="19"/>
        </w:rPr>
        <w:t>12.</w:t>
      </w:r>
      <w:r>
        <w:rPr>
          <w:rFonts w:hint="eastAsia" w:ascii="Times New Roman" w:hAnsi="Times New Roman" w:eastAsia="方正楷体_GBK" w:cs="Times New Roman"/>
          <w:sz w:val="32"/>
          <w:szCs w:val="19"/>
        </w:rPr>
        <w:t>支持企业</w:t>
      </w:r>
      <w:r>
        <w:rPr>
          <w:rFonts w:ascii="Times New Roman" w:hAnsi="Times New Roman" w:eastAsia="方正楷体_GBK" w:cs="Times New Roman"/>
          <w:sz w:val="32"/>
          <w:szCs w:val="19"/>
        </w:rPr>
        <w:t>主导标准</w:t>
      </w:r>
    </w:p>
    <w:p>
      <w:pPr>
        <w:widowControl w:val="0"/>
        <w:spacing w:line="560" w:lineRule="exact"/>
        <w:ind w:firstLine="640" w:firstLineChars="200"/>
        <w:contextualSpacing/>
        <w:jc w:val="both"/>
        <w:rPr>
          <w:rFonts w:ascii="Times New Roman" w:hAnsi="Times New Roman" w:eastAsia="方正仿宋_GBK" w:cs="Times New Roman"/>
          <w:sz w:val="32"/>
          <w:szCs w:val="19"/>
        </w:rPr>
      </w:pPr>
      <w:r>
        <w:rPr>
          <w:rFonts w:ascii="Times New Roman" w:hAnsi="Times New Roman" w:eastAsia="方正楷体_GBK" w:cs="Times New Roman"/>
          <w:sz w:val="32"/>
          <w:szCs w:val="19"/>
        </w:rPr>
        <w:t>——</w:t>
      </w:r>
      <w:r>
        <w:rPr>
          <w:rFonts w:ascii="Times New Roman" w:hAnsi="Times New Roman" w:eastAsia="方正仿宋_GBK" w:cs="Times New Roman"/>
          <w:sz w:val="32"/>
          <w:szCs w:val="19"/>
        </w:rPr>
        <w:t>对主导制修订国际、国家、行业标准（或团体、地方标准）的单位，分别给予最高15万元、10万元、5万元奖励。（核准类）</w:t>
      </w:r>
    </w:p>
    <w:p>
      <w:pPr>
        <w:widowControl w:val="0"/>
        <w:spacing w:line="560" w:lineRule="exact"/>
        <w:ind w:firstLine="640" w:firstLineChars="200"/>
        <w:contextualSpacing/>
        <w:jc w:val="both"/>
        <w:rPr>
          <w:rFonts w:ascii="Times New Roman" w:hAnsi="Times New Roman" w:eastAsia="方正楷体_GBK" w:cs="Times New Roman"/>
          <w:sz w:val="32"/>
          <w:szCs w:val="19"/>
        </w:rPr>
      </w:pPr>
      <w:r>
        <w:rPr>
          <w:rFonts w:hint="eastAsia" w:ascii="Times New Roman" w:hAnsi="Times New Roman" w:eastAsia="方正楷体_GBK" w:cs="Times New Roman"/>
          <w:sz w:val="32"/>
          <w:szCs w:val="19"/>
        </w:rPr>
        <w:t>1</w:t>
      </w:r>
      <w:r>
        <w:rPr>
          <w:rFonts w:ascii="Times New Roman" w:hAnsi="Times New Roman" w:eastAsia="方正楷体_GBK" w:cs="Times New Roman"/>
          <w:sz w:val="32"/>
          <w:szCs w:val="19"/>
        </w:rPr>
        <w:t>3.</w:t>
      </w:r>
      <w:r>
        <w:rPr>
          <w:rFonts w:hint="eastAsia" w:ascii="Times New Roman" w:hAnsi="Times New Roman" w:eastAsia="方正楷体_GBK" w:cs="Times New Roman"/>
          <w:sz w:val="32"/>
          <w:szCs w:val="19"/>
        </w:rPr>
        <w:t xml:space="preserve"> 鼓励企业开展知识产权质押融资</w:t>
      </w:r>
    </w:p>
    <w:p>
      <w:pPr>
        <w:widowControl w:val="0"/>
        <w:spacing w:line="560" w:lineRule="exact"/>
        <w:ind w:firstLine="640" w:firstLineChars="200"/>
        <w:contextualSpacing/>
        <w:jc w:val="both"/>
        <w:rPr>
          <w:rFonts w:ascii="Times New Roman" w:hAnsi="Times New Roman" w:eastAsia="方正仿宋_GBK" w:cs="Times New Roman"/>
          <w:sz w:val="32"/>
          <w:szCs w:val="19"/>
        </w:rPr>
      </w:pPr>
      <w:r>
        <w:rPr>
          <w:rFonts w:ascii="Times New Roman" w:hAnsi="Times New Roman" w:eastAsia="方正楷体_GBK" w:cs="Times New Roman"/>
          <w:sz w:val="32"/>
          <w:szCs w:val="19"/>
        </w:rPr>
        <w:t>——</w:t>
      </w:r>
      <w:r>
        <w:rPr>
          <w:rFonts w:hint="eastAsia" w:ascii="Times New Roman" w:hAnsi="Times New Roman" w:eastAsia="方正仿宋_GBK" w:cs="Times New Roman"/>
          <w:sz w:val="32"/>
          <w:szCs w:val="19"/>
        </w:rPr>
        <w:t>企业以专利、商标、地理标志、集成电路布图设计等知识产权成果进行质押贷款融资，对符合条件的贷款给予30%贴息奖补，每个项目最高支持5万元。</w:t>
      </w:r>
    </w:p>
    <w:p>
      <w:pPr>
        <w:widowControl w:val="0"/>
        <w:spacing w:line="560" w:lineRule="exact"/>
        <w:ind w:firstLine="640" w:firstLineChars="200"/>
        <w:contextualSpacing/>
        <w:rPr>
          <w:rFonts w:ascii="方正黑体_GBK" w:eastAsia="方正黑体_GBK"/>
          <w:sz w:val="32"/>
          <w:szCs w:val="32"/>
        </w:rPr>
      </w:pPr>
      <w:r>
        <w:rPr>
          <w:rFonts w:hint="eastAsia" w:ascii="方正黑体_GBK" w:eastAsia="方正黑体_GBK"/>
          <w:sz w:val="32"/>
          <w:szCs w:val="32"/>
        </w:rPr>
        <w:t>以上政策归口部门：</w:t>
      </w:r>
      <w:r>
        <w:rPr>
          <w:rFonts w:ascii="方正黑体_GBK" w:eastAsia="方正黑体_GBK"/>
          <w:sz w:val="32"/>
          <w:szCs w:val="32"/>
        </w:rPr>
        <w:t>区</w:t>
      </w:r>
      <w:r>
        <w:rPr>
          <w:rFonts w:hint="eastAsia" w:ascii="方正黑体_GBK" w:eastAsia="方正黑体_GBK"/>
          <w:sz w:val="32"/>
          <w:szCs w:val="32"/>
        </w:rPr>
        <w:t>市场监管</w:t>
      </w:r>
      <w:r>
        <w:rPr>
          <w:rFonts w:ascii="方正黑体_GBK" w:eastAsia="方正黑体_GBK"/>
          <w:sz w:val="32"/>
          <w:szCs w:val="32"/>
        </w:rPr>
        <w:t>局</w:t>
      </w:r>
    </w:p>
    <w:p>
      <w:pPr>
        <w:widowControl w:val="0"/>
        <w:spacing w:line="560" w:lineRule="exact"/>
        <w:ind w:firstLine="640" w:firstLineChars="200"/>
        <w:contextualSpacing/>
        <w:jc w:val="both"/>
        <w:rPr>
          <w:rFonts w:ascii="方正黑体_GBK" w:hAnsi="Times New Roman" w:eastAsia="方正黑体_GBK" w:cs="Times New Roman"/>
          <w:bCs/>
          <w:sz w:val="32"/>
          <w:szCs w:val="19"/>
        </w:rPr>
      </w:pPr>
      <w:r>
        <w:rPr>
          <w:rFonts w:hint="eastAsia" w:ascii="方正黑体_GBK" w:hAnsi="Times New Roman" w:eastAsia="方正黑体_GBK" w:cs="Times New Roman"/>
          <w:bCs/>
          <w:sz w:val="32"/>
          <w:szCs w:val="19"/>
        </w:rPr>
        <w:t>五、打造产业龙头</w:t>
      </w:r>
    </w:p>
    <w:p>
      <w:pPr>
        <w:widowControl w:val="0"/>
        <w:spacing w:line="560" w:lineRule="exact"/>
        <w:ind w:firstLine="640" w:firstLineChars="200"/>
        <w:contextualSpacing/>
        <w:jc w:val="both"/>
        <w:rPr>
          <w:rFonts w:ascii="Times New Roman" w:hAnsi="Times New Roman" w:eastAsia="方正楷体_GBK" w:cs="Times New Roman"/>
          <w:color w:val="000000"/>
          <w:sz w:val="32"/>
          <w:szCs w:val="32"/>
        </w:rPr>
      </w:pPr>
      <w:r>
        <w:rPr>
          <w:rFonts w:ascii="Times New Roman" w:hAnsi="Times New Roman" w:eastAsia="方正楷体_GBK" w:cs="Times New Roman"/>
          <w:color w:val="000000"/>
          <w:sz w:val="32"/>
          <w:szCs w:val="32"/>
        </w:rPr>
        <w:t>14.</w:t>
      </w:r>
      <w:r>
        <w:rPr>
          <w:rFonts w:hint="eastAsia" w:ascii="Times New Roman" w:hAnsi="Times New Roman" w:eastAsia="方正楷体_GBK" w:cs="Times New Roman"/>
          <w:color w:val="000000"/>
          <w:sz w:val="32"/>
          <w:szCs w:val="32"/>
        </w:rPr>
        <w:t>支持企业质量品牌提升</w:t>
      </w:r>
    </w:p>
    <w:p>
      <w:pPr>
        <w:widowControl w:val="0"/>
        <w:spacing w:line="560" w:lineRule="exact"/>
        <w:ind w:firstLine="640" w:firstLineChars="200"/>
        <w:contextualSpacing/>
        <w:jc w:val="both"/>
        <w:rPr>
          <w:rFonts w:ascii="Times New Roman" w:hAnsi="Times New Roman" w:eastAsia="方正楷体_GBK" w:cs="Times New Roman"/>
          <w:color w:val="000000"/>
          <w:sz w:val="32"/>
          <w:szCs w:val="32"/>
        </w:rPr>
      </w:pPr>
      <w:r>
        <w:rPr>
          <w:rFonts w:ascii="Times New Roman" w:hAnsi="Times New Roman" w:eastAsia="方正楷体_GBK" w:cs="Times New Roman"/>
          <w:sz w:val="32"/>
          <w:szCs w:val="19"/>
        </w:rPr>
        <w:t>——</w:t>
      </w:r>
      <w:r>
        <w:rPr>
          <w:rFonts w:hint="eastAsia" w:ascii="Times New Roman" w:hAnsi="Times New Roman" w:eastAsia="方正仿宋_GBK" w:cs="Times New Roman"/>
          <w:color w:val="000000"/>
          <w:sz w:val="32"/>
          <w:szCs w:val="32"/>
        </w:rPr>
        <w:t>对获得中国质量奖（全国质量奖）、省长质量奖、市长质量奖的单位，分别给予最高50万、30万、20万元奖励。对获得中国质量提名奖的单位给予最高30万元的奖励，对获得省长质量提名奖的单位给予最高20万元的奖励，对获得无锡市“质量管理优秀奖”的单位给予最高10万元的奖励。（核准类）</w:t>
      </w:r>
    </w:p>
    <w:p>
      <w:pPr>
        <w:widowControl w:val="0"/>
        <w:spacing w:line="560" w:lineRule="exact"/>
        <w:ind w:firstLine="640" w:firstLineChars="200"/>
        <w:contextualSpacing/>
        <w:rPr>
          <w:rFonts w:ascii="方正黑体_GBK" w:eastAsia="方正黑体_GBK"/>
          <w:sz w:val="32"/>
          <w:szCs w:val="32"/>
        </w:rPr>
      </w:pPr>
      <w:r>
        <w:rPr>
          <w:rFonts w:hint="eastAsia" w:ascii="方正黑体_GBK" w:eastAsia="方正黑体_GBK"/>
          <w:sz w:val="32"/>
          <w:szCs w:val="32"/>
        </w:rPr>
        <w:t>归口部门：区市场监管局</w:t>
      </w:r>
    </w:p>
    <w:p>
      <w:pPr>
        <w:widowControl w:val="0"/>
        <w:spacing w:line="560" w:lineRule="exact"/>
        <w:ind w:firstLine="640" w:firstLineChars="200"/>
        <w:contextualSpacing/>
        <w:jc w:val="both"/>
        <w:rPr>
          <w:rFonts w:ascii="Times New Roman" w:hAnsi="Times New Roman" w:eastAsia="方正楷体_GBK" w:cs="Times New Roman"/>
          <w:sz w:val="32"/>
          <w:szCs w:val="19"/>
        </w:rPr>
      </w:pPr>
      <w:r>
        <w:rPr>
          <w:rFonts w:ascii="Times New Roman" w:hAnsi="Times New Roman" w:eastAsia="方正楷体_GBK" w:cs="Times New Roman"/>
          <w:sz w:val="32"/>
          <w:szCs w:val="19"/>
        </w:rPr>
        <w:t>15. 鼓励壮大龙头</w:t>
      </w:r>
      <w:r>
        <w:rPr>
          <w:rFonts w:hint="eastAsia" w:ascii="Times New Roman" w:hAnsi="Times New Roman" w:eastAsia="方正楷体_GBK" w:cs="Times New Roman"/>
          <w:sz w:val="32"/>
          <w:szCs w:val="19"/>
        </w:rPr>
        <w:t>企业</w:t>
      </w:r>
    </w:p>
    <w:p>
      <w:pPr>
        <w:widowControl w:val="0"/>
        <w:spacing w:line="560" w:lineRule="exact"/>
        <w:ind w:firstLine="640" w:firstLineChars="200"/>
        <w:contextualSpacing/>
        <w:jc w:val="both"/>
        <w:rPr>
          <w:rFonts w:ascii="Times New Roman" w:hAnsi="Times New Roman" w:eastAsia="方正仿宋_GBK" w:cs="Times New Roman"/>
          <w:sz w:val="32"/>
          <w:szCs w:val="32"/>
        </w:rPr>
      </w:pPr>
      <w:r>
        <w:rPr>
          <w:rFonts w:hint="eastAsia" w:ascii="Times New Roman" w:hAnsi="Times New Roman" w:eastAsia="方正楷体_GBK" w:cs="Times New Roman"/>
          <w:sz w:val="32"/>
          <w:szCs w:val="19"/>
        </w:rPr>
        <w:t>——</w:t>
      </w:r>
      <w:r>
        <w:rPr>
          <w:rFonts w:ascii="Times New Roman" w:hAnsi="Times New Roman" w:eastAsia="方正仿宋_GBK" w:cs="Times New Roman"/>
          <w:sz w:val="32"/>
          <w:szCs w:val="32"/>
        </w:rPr>
        <w:t>对首次入选“世界500强”的企业给予最高500万元奖励，首次入选“中国企业500强”的企业给予最高200万元奖励，首次入选“中国制造业企业500强”、“中国服务业企业500强”、“中国民营企业500强”的企业给予最高100万元奖励。（评审类）</w:t>
      </w:r>
    </w:p>
    <w:p>
      <w:pPr>
        <w:widowControl w:val="0"/>
        <w:spacing w:line="560" w:lineRule="exact"/>
        <w:ind w:firstLine="640" w:firstLineChars="200"/>
        <w:contextualSpacing/>
        <w:rPr>
          <w:rFonts w:ascii="方正黑体_GBK" w:eastAsia="方正黑体_GBK"/>
          <w:sz w:val="32"/>
          <w:szCs w:val="32"/>
        </w:rPr>
      </w:pPr>
      <w:r>
        <w:rPr>
          <w:rFonts w:ascii="方正黑体_GBK" w:eastAsia="方正黑体_GBK"/>
          <w:sz w:val="32"/>
          <w:szCs w:val="32"/>
        </w:rPr>
        <w:t>归口部门：区发展改革委、区工信局、区商务局</w:t>
      </w:r>
    </w:p>
    <w:p>
      <w:pPr>
        <w:widowControl w:val="0"/>
        <w:spacing w:line="560" w:lineRule="exact"/>
        <w:ind w:firstLine="640" w:firstLineChars="200"/>
        <w:contextualSpacing/>
        <w:jc w:val="both"/>
        <w:rPr>
          <w:rFonts w:ascii="Times New Roman" w:hAnsi="Times New Roman" w:eastAsia="方正楷体_GBK" w:cs="Times New Roman"/>
          <w:sz w:val="32"/>
          <w:szCs w:val="19"/>
        </w:rPr>
      </w:pPr>
      <w:r>
        <w:rPr>
          <w:rFonts w:ascii="Times New Roman" w:hAnsi="Times New Roman" w:eastAsia="方正楷体_GBK" w:cs="Times New Roman"/>
          <w:sz w:val="32"/>
          <w:szCs w:val="19"/>
        </w:rPr>
        <w:t>16.支持总部</w:t>
      </w:r>
      <w:r>
        <w:rPr>
          <w:rFonts w:hint="eastAsia" w:ascii="Times New Roman" w:hAnsi="Times New Roman" w:eastAsia="方正楷体_GBK" w:cs="Times New Roman"/>
          <w:sz w:val="32"/>
          <w:szCs w:val="19"/>
        </w:rPr>
        <w:t>经济</w:t>
      </w:r>
      <w:r>
        <w:rPr>
          <w:rFonts w:ascii="Times New Roman" w:hAnsi="Times New Roman" w:eastAsia="方正楷体_GBK" w:cs="Times New Roman"/>
          <w:sz w:val="32"/>
          <w:szCs w:val="19"/>
        </w:rPr>
        <w:t>壮大</w:t>
      </w:r>
    </w:p>
    <w:p>
      <w:pPr>
        <w:widowControl w:val="0"/>
        <w:spacing w:line="560" w:lineRule="exact"/>
        <w:ind w:firstLine="640" w:firstLineChars="200"/>
        <w:contextualSpacing/>
        <w:jc w:val="both"/>
        <w:rPr>
          <w:rFonts w:ascii="Times New Roman" w:hAnsi="Times New Roman" w:eastAsia="方正仿宋_GBK" w:cs="Times New Roman"/>
          <w:sz w:val="32"/>
          <w:szCs w:val="19"/>
        </w:rPr>
      </w:pPr>
      <w:r>
        <w:rPr>
          <w:rFonts w:ascii="Times New Roman" w:hAnsi="Times New Roman" w:eastAsia="方正楷体_GBK" w:cs="Times New Roman"/>
          <w:sz w:val="32"/>
          <w:szCs w:val="19"/>
        </w:rPr>
        <w:t>——</w:t>
      </w:r>
      <w:r>
        <w:rPr>
          <w:rFonts w:hint="eastAsia" w:ascii="Times New Roman" w:hAnsi="Times New Roman" w:eastAsia="方正仿宋_GBK" w:cs="Times New Roman"/>
          <w:sz w:val="32"/>
          <w:szCs w:val="19"/>
        </w:rPr>
        <w:t>对经认定的区级总部企业，按照核算年度的属地社会贡献较上年度增幅分档给予奖励，奖励不超过3次（含）。对高于全区平均社会贡献增速的，分档给予不超过属地社会贡献增量60%的奖励,年度最高500万元。支持总部企业领军型人才（团队）或高级经营管理人才申报“梁溪英才计划”。</w:t>
      </w:r>
      <w:r>
        <w:rPr>
          <w:rFonts w:ascii="Times New Roman" w:hAnsi="Times New Roman" w:eastAsia="方正仿宋_GBK" w:cs="Times New Roman"/>
          <w:sz w:val="32"/>
          <w:szCs w:val="19"/>
        </w:rPr>
        <w:t>（核准类）</w:t>
      </w:r>
    </w:p>
    <w:p>
      <w:pPr>
        <w:widowControl w:val="0"/>
        <w:spacing w:line="560" w:lineRule="exact"/>
        <w:ind w:firstLine="640" w:firstLineChars="200"/>
        <w:contextualSpacing/>
        <w:jc w:val="both"/>
        <w:rPr>
          <w:rFonts w:ascii="方正黑体_GBK" w:eastAsia="方正黑体_GBK"/>
          <w:sz w:val="32"/>
          <w:szCs w:val="32"/>
        </w:rPr>
      </w:pPr>
      <w:r>
        <w:rPr>
          <w:rFonts w:ascii="方正黑体_GBK" w:eastAsia="方正黑体_GBK"/>
          <w:sz w:val="32"/>
          <w:szCs w:val="32"/>
        </w:rPr>
        <w:t>归口部门：区发展改革委</w:t>
      </w:r>
    </w:p>
    <w:p>
      <w:pPr>
        <w:adjustRightInd/>
        <w:snapToGrid/>
        <w:spacing w:line="220" w:lineRule="atLeast"/>
        <w:rPr>
          <w:rFonts w:ascii="Times New Roman" w:hAnsi="Times New Roman" w:eastAsia="方正楷体_GBK" w:cs="方正楷体_GBK"/>
          <w:sz w:val="44"/>
          <w:szCs w:val="44"/>
        </w:rPr>
      </w:pPr>
      <w:r>
        <w:rPr>
          <w:rFonts w:ascii="Times New Roman" w:hAnsi="Times New Roman"/>
          <w:sz w:val="44"/>
          <w:szCs w:val="44"/>
        </w:rPr>
        <w:br w:type="page"/>
      </w:r>
    </w:p>
    <w:p>
      <w:pPr>
        <w:pStyle w:val="16"/>
        <w:spacing w:line="560" w:lineRule="exact"/>
        <w:jc w:val="center"/>
        <w:outlineLvl w:val="0"/>
        <w:rPr>
          <w:rFonts w:ascii="方正黑体_GBK" w:hAnsi="Times New Roman" w:eastAsia="方正黑体_GBK"/>
          <w:color w:val="auto"/>
          <w:sz w:val="36"/>
          <w:szCs w:val="36"/>
        </w:rPr>
      </w:pPr>
      <w:r>
        <w:rPr>
          <w:rFonts w:hint="eastAsia" w:ascii="方正黑体_GBK" w:hAnsi="Times New Roman" w:eastAsia="方正黑体_GBK"/>
          <w:color w:val="auto"/>
          <w:sz w:val="36"/>
          <w:szCs w:val="36"/>
        </w:rPr>
        <w:t>附 则</w:t>
      </w:r>
    </w:p>
    <w:p>
      <w:pPr>
        <w:pStyle w:val="16"/>
        <w:adjustRightInd/>
        <w:spacing w:line="560" w:lineRule="exact"/>
        <w:ind w:firstLine="640" w:firstLineChars="200"/>
        <w:jc w:val="both"/>
        <w:outlineLvl w:val="1"/>
        <w:rPr>
          <w:rFonts w:ascii="Times New Roman" w:hAnsi="Times New Roman" w:eastAsia="方正仿宋_GBK"/>
          <w:color w:val="auto"/>
          <w:sz w:val="32"/>
          <w:szCs w:val="32"/>
        </w:rPr>
      </w:pPr>
    </w:p>
    <w:p>
      <w:pPr>
        <w:widowControl w:val="0"/>
        <w:spacing w:after="0" w:line="560" w:lineRule="exact"/>
        <w:ind w:firstLine="640" w:firstLineChars="200"/>
        <w:contextualSpacing/>
        <w:jc w:val="both"/>
        <w:rPr>
          <w:rFonts w:ascii="Times New Roman" w:hAnsi="Times New Roman" w:eastAsia="方正仿宋_GBK"/>
          <w:sz w:val="32"/>
          <w:szCs w:val="32"/>
        </w:rPr>
      </w:pPr>
      <w:r>
        <w:rPr>
          <w:rFonts w:ascii="Times New Roman" w:hAnsi="Times New Roman" w:eastAsia="方正仿宋_GBK"/>
          <w:sz w:val="32"/>
          <w:szCs w:val="32"/>
        </w:rPr>
        <w:t>（1）本意见适用于注册在无锡市梁溪区范围内的企业。奖补对象不包含房地产项目、政府性投资项目</w:t>
      </w:r>
      <w:r>
        <w:rPr>
          <w:rFonts w:hint="eastAsia" w:ascii="Times New Roman" w:hAnsi="Times New Roman" w:eastAsia="方正仿宋_GBK"/>
          <w:sz w:val="32"/>
          <w:szCs w:val="32"/>
        </w:rPr>
        <w:t>（区属国企）</w:t>
      </w:r>
      <w:r>
        <w:rPr>
          <w:rFonts w:ascii="Times New Roman" w:hAnsi="Times New Roman" w:eastAsia="方正仿宋_GBK"/>
          <w:sz w:val="32"/>
          <w:szCs w:val="32"/>
        </w:rPr>
        <w:t>。企业信用等级不达标（B-以下）的，实行一票否决，不予奖励。</w:t>
      </w:r>
      <w:r>
        <w:rPr>
          <w:rFonts w:hint="eastAsia" w:ascii="方正仿宋_GBK" w:hAnsi="方正仿宋_GBK" w:eastAsia="方正仿宋_GBK" w:cs="Times New Roman"/>
          <w:color w:val="333333"/>
          <w:sz w:val="32"/>
          <w:szCs w:val="32"/>
        </w:rPr>
        <w:t>已享受区“一事一议”政策的企业，不再重复享受此扶持政策。</w:t>
      </w:r>
    </w:p>
    <w:p>
      <w:pPr>
        <w:pStyle w:val="16"/>
        <w:spacing w:line="560" w:lineRule="exact"/>
        <w:ind w:firstLine="640" w:firstLineChars="200"/>
        <w:jc w:val="both"/>
        <w:outlineLvl w:val="1"/>
        <w:rPr>
          <w:rFonts w:ascii="Times New Roman" w:hAnsi="Times New Roman" w:eastAsia="方正仿宋_GBK"/>
          <w:color w:val="auto"/>
          <w:sz w:val="32"/>
          <w:szCs w:val="32"/>
        </w:rPr>
      </w:pPr>
      <w:r>
        <w:rPr>
          <w:rFonts w:ascii="Times New Roman" w:hAnsi="Times New Roman" w:eastAsia="方正仿宋_GBK"/>
          <w:color w:val="auto"/>
          <w:sz w:val="32"/>
          <w:szCs w:val="32"/>
        </w:rPr>
        <w:t>（2）本《意见》中同一项目按</w:t>
      </w:r>
      <w:r>
        <w:rPr>
          <w:rFonts w:hint="eastAsia" w:ascii="Times New Roman" w:hAnsi="Times New Roman" w:eastAsia="方正仿宋_GBK"/>
          <w:color w:val="auto"/>
          <w:sz w:val="32"/>
          <w:szCs w:val="32"/>
        </w:rPr>
        <w:t>“</w:t>
      </w:r>
      <w:r>
        <w:rPr>
          <w:rFonts w:ascii="Times New Roman" w:hAnsi="Times New Roman" w:eastAsia="方正仿宋_GBK"/>
          <w:color w:val="auto"/>
          <w:sz w:val="32"/>
          <w:szCs w:val="32"/>
        </w:rPr>
        <w:t>就高不重复</w:t>
      </w:r>
      <w:r>
        <w:rPr>
          <w:rFonts w:hint="eastAsia" w:ascii="Times New Roman" w:hAnsi="Times New Roman" w:eastAsia="方正仿宋_GBK"/>
          <w:color w:val="auto"/>
          <w:sz w:val="32"/>
          <w:szCs w:val="32"/>
        </w:rPr>
        <w:t>”</w:t>
      </w:r>
      <w:r>
        <w:rPr>
          <w:rFonts w:ascii="Times New Roman" w:hAnsi="Times New Roman" w:eastAsia="方正仿宋_GBK"/>
          <w:color w:val="auto"/>
          <w:sz w:val="32"/>
          <w:szCs w:val="32"/>
        </w:rPr>
        <w:t>原则确定奖励额度。当年奖励总额度原则上不高于企业当年度属地社会贡献。单项奖励在1万元以下的放弃兑现。对特别重大的产业项目可采取</w:t>
      </w:r>
      <w:r>
        <w:rPr>
          <w:rFonts w:hint="eastAsia" w:ascii="Times New Roman" w:hAnsi="Times New Roman" w:eastAsia="方正仿宋_GBK"/>
          <w:color w:val="auto"/>
          <w:sz w:val="32"/>
          <w:szCs w:val="32"/>
        </w:rPr>
        <w:t>“</w:t>
      </w:r>
      <w:r>
        <w:rPr>
          <w:rFonts w:ascii="Times New Roman" w:hAnsi="Times New Roman" w:eastAsia="方正仿宋_GBK"/>
          <w:color w:val="auto"/>
          <w:sz w:val="32"/>
          <w:szCs w:val="32"/>
        </w:rPr>
        <w:t>一事一议</w:t>
      </w:r>
      <w:r>
        <w:rPr>
          <w:rFonts w:hint="eastAsia" w:ascii="Times New Roman" w:hAnsi="Times New Roman" w:eastAsia="方正仿宋_GBK"/>
          <w:color w:val="auto"/>
          <w:sz w:val="32"/>
          <w:szCs w:val="32"/>
        </w:rPr>
        <w:t>”</w:t>
      </w:r>
      <w:r>
        <w:rPr>
          <w:rFonts w:ascii="Times New Roman" w:hAnsi="Times New Roman" w:eastAsia="方正仿宋_GBK"/>
          <w:color w:val="auto"/>
          <w:sz w:val="32"/>
          <w:szCs w:val="32"/>
        </w:rPr>
        <w:t>的方式。</w:t>
      </w:r>
    </w:p>
    <w:p>
      <w:pPr>
        <w:pStyle w:val="16"/>
        <w:spacing w:line="560" w:lineRule="exact"/>
        <w:ind w:firstLine="640" w:firstLineChars="200"/>
        <w:jc w:val="both"/>
        <w:rPr>
          <w:rFonts w:ascii="Times New Roman" w:hAnsi="Times New Roman" w:eastAsia="方正仿宋_GBK"/>
          <w:color w:val="auto"/>
          <w:sz w:val="32"/>
          <w:szCs w:val="32"/>
        </w:rPr>
      </w:pPr>
      <w:r>
        <w:rPr>
          <w:rFonts w:ascii="Times New Roman" w:hAnsi="Times New Roman" w:eastAsia="方正仿宋_GBK"/>
          <w:color w:val="auto"/>
          <w:sz w:val="32"/>
          <w:szCs w:val="32"/>
        </w:rPr>
        <w:t>（3）对申报市级以上产业政策扶持项目，只对上级规定要求配套的项目进行配套。</w:t>
      </w:r>
    </w:p>
    <w:p>
      <w:pPr>
        <w:pStyle w:val="16"/>
        <w:spacing w:line="560" w:lineRule="exact"/>
        <w:ind w:firstLine="640" w:firstLineChars="200"/>
        <w:jc w:val="both"/>
        <w:rPr>
          <w:rFonts w:ascii="Times New Roman" w:hAnsi="Times New Roman" w:eastAsia="方正仿宋_GBK"/>
          <w:color w:val="auto"/>
          <w:sz w:val="32"/>
          <w:szCs w:val="32"/>
        </w:rPr>
      </w:pPr>
      <w:r>
        <w:rPr>
          <w:rFonts w:ascii="Times New Roman" w:hAnsi="Times New Roman" w:eastAsia="方正仿宋_GBK"/>
          <w:color w:val="auto"/>
          <w:sz w:val="32"/>
          <w:szCs w:val="32"/>
        </w:rPr>
        <w:t>（4）本意见发布后，由主管部门制定相关政策实施细则以及申报指南，明确项目申报条件、分档择优评审办法、立项审批程序和资金管理要求。</w:t>
      </w:r>
    </w:p>
    <w:p>
      <w:pPr>
        <w:pStyle w:val="16"/>
        <w:spacing w:line="560" w:lineRule="exact"/>
        <w:ind w:firstLine="640" w:firstLineChars="200"/>
        <w:jc w:val="both"/>
        <w:rPr>
          <w:rFonts w:ascii="Times New Roman" w:hAnsi="Times New Roman" w:eastAsia="方正仿宋_GBK"/>
          <w:color w:val="auto"/>
          <w:sz w:val="32"/>
          <w:szCs w:val="32"/>
        </w:rPr>
      </w:pPr>
      <w:r>
        <w:rPr>
          <w:rFonts w:ascii="Times New Roman" w:hAnsi="Times New Roman" w:eastAsia="方正仿宋_GBK"/>
          <w:color w:val="auto"/>
          <w:sz w:val="32"/>
          <w:szCs w:val="32"/>
        </w:rPr>
        <w:t>（5）本意见由区政府负责解释，具体解释工作由区政府办公室商各主管部门承担。本意见</w:t>
      </w:r>
      <w:r>
        <w:rPr>
          <w:rFonts w:hint="eastAsia" w:ascii="Times New Roman" w:hAnsi="Times New Roman" w:eastAsia="方正仿宋_GBK"/>
          <w:color w:val="auto"/>
          <w:sz w:val="32"/>
          <w:szCs w:val="32"/>
        </w:rPr>
        <w:t>自公布之日起实施，有效期至2023年12月31日</w:t>
      </w:r>
      <w:r>
        <w:rPr>
          <w:rFonts w:ascii="Times New Roman" w:hAnsi="Times New Roman" w:eastAsia="方正仿宋_GBK"/>
          <w:color w:val="auto"/>
          <w:sz w:val="32"/>
          <w:szCs w:val="32"/>
        </w:rPr>
        <w:t>。</w:t>
      </w:r>
      <w:r>
        <w:rPr>
          <w:rFonts w:hint="eastAsia" w:ascii="Times New Roman" w:hAnsi="Times New Roman" w:eastAsia="方正仿宋_GBK"/>
          <w:color w:val="auto"/>
          <w:sz w:val="32"/>
          <w:szCs w:val="32"/>
        </w:rPr>
        <w:t>各部门要抓紧制定具体实施细则，加强宣传解读，推动各项政策措施落实落细。</w:t>
      </w:r>
    </w:p>
    <w:p>
      <w:pPr>
        <w:pStyle w:val="16"/>
        <w:spacing w:line="560" w:lineRule="exact"/>
        <w:ind w:firstLine="640" w:firstLineChars="200"/>
        <w:jc w:val="both"/>
        <w:rPr>
          <w:rFonts w:ascii="方正黑体_GBK" w:eastAsia="方正黑体_GBK"/>
          <w:sz w:val="32"/>
          <w:szCs w:val="32"/>
        </w:rPr>
      </w:pPr>
      <w:r>
        <w:rPr>
          <w:rFonts w:ascii="Times New Roman" w:hAnsi="Times New Roman" w:eastAsia="方正仿宋_GBK"/>
          <w:color w:val="auto"/>
          <w:sz w:val="32"/>
          <w:szCs w:val="32"/>
        </w:rPr>
        <w:t>（6）本意见自发布之日起执行，</w:t>
      </w:r>
      <w:r>
        <w:rPr>
          <w:rFonts w:hint="eastAsia" w:ascii="Times New Roman" w:hAnsi="Times New Roman" w:eastAsia="方正仿宋_GBK"/>
          <w:color w:val="auto"/>
          <w:sz w:val="32"/>
          <w:szCs w:val="32"/>
        </w:rPr>
        <w:t>与</w:t>
      </w:r>
      <w:r>
        <w:rPr>
          <w:rFonts w:ascii="Times New Roman" w:hAnsi="Times New Roman" w:eastAsia="方正仿宋_GBK"/>
          <w:color w:val="auto"/>
          <w:sz w:val="32"/>
          <w:szCs w:val="32"/>
        </w:rPr>
        <w:t>区委区政府《关于</w:t>
      </w:r>
      <w:r>
        <w:rPr>
          <w:rFonts w:hint="eastAsia" w:ascii="Times New Roman" w:hAnsi="Times New Roman" w:eastAsia="方正仿宋_GBK"/>
          <w:color w:val="auto"/>
          <w:sz w:val="32"/>
          <w:szCs w:val="32"/>
        </w:rPr>
        <w:t>进一步深化</w:t>
      </w:r>
      <w:r>
        <w:rPr>
          <w:rFonts w:ascii="Times New Roman" w:hAnsi="Times New Roman" w:eastAsia="方正仿宋_GBK"/>
          <w:color w:val="auto"/>
          <w:sz w:val="32"/>
          <w:szCs w:val="32"/>
        </w:rPr>
        <w:t>现代产业</w:t>
      </w:r>
      <w:r>
        <w:rPr>
          <w:rFonts w:hint="eastAsia" w:ascii="Times New Roman" w:hAnsi="Times New Roman" w:eastAsia="方正仿宋_GBK"/>
          <w:color w:val="auto"/>
          <w:sz w:val="32"/>
          <w:szCs w:val="32"/>
        </w:rPr>
        <w:t>高质量</w:t>
      </w:r>
      <w:r>
        <w:rPr>
          <w:rFonts w:ascii="Times New Roman" w:hAnsi="Times New Roman" w:eastAsia="方正仿宋_GBK"/>
          <w:color w:val="auto"/>
          <w:sz w:val="32"/>
          <w:szCs w:val="32"/>
        </w:rPr>
        <w:t>发展</w:t>
      </w:r>
      <w:r>
        <w:rPr>
          <w:rFonts w:hint="eastAsia" w:ascii="Times New Roman" w:hAnsi="Times New Roman" w:eastAsia="方正仿宋_GBK"/>
          <w:color w:val="auto"/>
          <w:sz w:val="32"/>
          <w:szCs w:val="32"/>
        </w:rPr>
        <w:t>的</w:t>
      </w:r>
      <w:r>
        <w:rPr>
          <w:rFonts w:ascii="Times New Roman" w:hAnsi="Times New Roman" w:eastAsia="方正仿宋_GBK"/>
          <w:color w:val="auto"/>
          <w:sz w:val="32"/>
          <w:szCs w:val="32"/>
        </w:rPr>
        <w:t>政策意见》（梁委发〔2022〕67号）</w:t>
      </w:r>
      <w:r>
        <w:rPr>
          <w:rFonts w:hint="eastAsia" w:ascii="Times New Roman" w:hAnsi="Times New Roman" w:eastAsia="方正仿宋_GBK"/>
          <w:color w:val="auto"/>
          <w:sz w:val="32"/>
          <w:szCs w:val="32"/>
        </w:rPr>
        <w:t>相互独立申报</w:t>
      </w:r>
      <w:r>
        <w:rPr>
          <w:rFonts w:ascii="Times New Roman" w:hAnsi="Times New Roman" w:eastAsia="方正仿宋_GBK"/>
          <w:color w:val="auto"/>
          <w:sz w:val="32"/>
          <w:szCs w:val="32"/>
        </w:rPr>
        <w:t>。</w:t>
      </w:r>
    </w:p>
    <w:sectPr>
      <w:pgSz w:w="11906" w:h="16838"/>
      <w:pgMar w:top="2098" w:right="1474" w:bottom="1985" w:left="1588"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ExN2JiZTdmNjg1NDQyMzgxZjJhYzg1OGMxYjc4ZWIifQ=="/>
  </w:docVars>
  <w:rsids>
    <w:rsidRoot w:val="00D31D50"/>
    <w:rsid w:val="00026B70"/>
    <w:rsid w:val="000309CA"/>
    <w:rsid w:val="0004213D"/>
    <w:rsid w:val="00056A3E"/>
    <w:rsid w:val="0009081B"/>
    <w:rsid w:val="00090B21"/>
    <w:rsid w:val="000B1717"/>
    <w:rsid w:val="000B40A6"/>
    <w:rsid w:val="000E219C"/>
    <w:rsid w:val="000F2758"/>
    <w:rsid w:val="000F29D3"/>
    <w:rsid w:val="000F5BE3"/>
    <w:rsid w:val="00135665"/>
    <w:rsid w:val="00146F32"/>
    <w:rsid w:val="0015044A"/>
    <w:rsid w:val="00163ABB"/>
    <w:rsid w:val="00171824"/>
    <w:rsid w:val="00185C5E"/>
    <w:rsid w:val="001A5A41"/>
    <w:rsid w:val="001A6735"/>
    <w:rsid w:val="001B35A5"/>
    <w:rsid w:val="001B5B34"/>
    <w:rsid w:val="001B5D1B"/>
    <w:rsid w:val="001F0FCF"/>
    <w:rsid w:val="00201B68"/>
    <w:rsid w:val="002055E2"/>
    <w:rsid w:val="00214D19"/>
    <w:rsid w:val="0022128E"/>
    <w:rsid w:val="00222C0B"/>
    <w:rsid w:val="00222E32"/>
    <w:rsid w:val="00246E2C"/>
    <w:rsid w:val="00273FB2"/>
    <w:rsid w:val="002A658C"/>
    <w:rsid w:val="002B2B7D"/>
    <w:rsid w:val="002B6B2E"/>
    <w:rsid w:val="002D704E"/>
    <w:rsid w:val="002E188C"/>
    <w:rsid w:val="00302BE5"/>
    <w:rsid w:val="00304C9C"/>
    <w:rsid w:val="003156C0"/>
    <w:rsid w:val="00323179"/>
    <w:rsid w:val="00323B43"/>
    <w:rsid w:val="00327516"/>
    <w:rsid w:val="00336B7B"/>
    <w:rsid w:val="00340EBD"/>
    <w:rsid w:val="00350DE9"/>
    <w:rsid w:val="00353EB4"/>
    <w:rsid w:val="00355655"/>
    <w:rsid w:val="003574F1"/>
    <w:rsid w:val="003661E4"/>
    <w:rsid w:val="0037022D"/>
    <w:rsid w:val="00373194"/>
    <w:rsid w:val="003955B0"/>
    <w:rsid w:val="003959BA"/>
    <w:rsid w:val="00395D71"/>
    <w:rsid w:val="003B5AD0"/>
    <w:rsid w:val="003B6776"/>
    <w:rsid w:val="003C18B8"/>
    <w:rsid w:val="003C1D7A"/>
    <w:rsid w:val="003D2061"/>
    <w:rsid w:val="003D37D8"/>
    <w:rsid w:val="003E0033"/>
    <w:rsid w:val="003E20EA"/>
    <w:rsid w:val="003E5904"/>
    <w:rsid w:val="003F08BC"/>
    <w:rsid w:val="00403CAE"/>
    <w:rsid w:val="00414321"/>
    <w:rsid w:val="00421628"/>
    <w:rsid w:val="00426133"/>
    <w:rsid w:val="004358AB"/>
    <w:rsid w:val="00447AF7"/>
    <w:rsid w:val="004508AB"/>
    <w:rsid w:val="00462A6C"/>
    <w:rsid w:val="00480B3E"/>
    <w:rsid w:val="00485EF8"/>
    <w:rsid w:val="0049419D"/>
    <w:rsid w:val="00496309"/>
    <w:rsid w:val="004A5FD2"/>
    <w:rsid w:val="004B1F5C"/>
    <w:rsid w:val="004B5BB7"/>
    <w:rsid w:val="004B6AF0"/>
    <w:rsid w:val="004D762A"/>
    <w:rsid w:val="004E7270"/>
    <w:rsid w:val="004F670F"/>
    <w:rsid w:val="005510E6"/>
    <w:rsid w:val="005527E4"/>
    <w:rsid w:val="00552E28"/>
    <w:rsid w:val="00560395"/>
    <w:rsid w:val="005908FE"/>
    <w:rsid w:val="005D3602"/>
    <w:rsid w:val="005E44CA"/>
    <w:rsid w:val="005E6FF8"/>
    <w:rsid w:val="005F5E15"/>
    <w:rsid w:val="00600C7A"/>
    <w:rsid w:val="00641885"/>
    <w:rsid w:val="006455CE"/>
    <w:rsid w:val="006722DC"/>
    <w:rsid w:val="0069394C"/>
    <w:rsid w:val="006974B5"/>
    <w:rsid w:val="006B123F"/>
    <w:rsid w:val="006D64C5"/>
    <w:rsid w:val="006E3659"/>
    <w:rsid w:val="006E766F"/>
    <w:rsid w:val="006F2EBE"/>
    <w:rsid w:val="007015F5"/>
    <w:rsid w:val="007063B6"/>
    <w:rsid w:val="00713B94"/>
    <w:rsid w:val="00734412"/>
    <w:rsid w:val="00737971"/>
    <w:rsid w:val="00754D22"/>
    <w:rsid w:val="00773CB9"/>
    <w:rsid w:val="00776989"/>
    <w:rsid w:val="00780598"/>
    <w:rsid w:val="007924CE"/>
    <w:rsid w:val="00795FAB"/>
    <w:rsid w:val="007A2BFE"/>
    <w:rsid w:val="007C1157"/>
    <w:rsid w:val="007D489E"/>
    <w:rsid w:val="007E3397"/>
    <w:rsid w:val="00843C85"/>
    <w:rsid w:val="0085056B"/>
    <w:rsid w:val="008528A3"/>
    <w:rsid w:val="008547DB"/>
    <w:rsid w:val="008621E4"/>
    <w:rsid w:val="00862DBC"/>
    <w:rsid w:val="008669E5"/>
    <w:rsid w:val="00875509"/>
    <w:rsid w:val="00875941"/>
    <w:rsid w:val="008834B1"/>
    <w:rsid w:val="008836A0"/>
    <w:rsid w:val="008A0030"/>
    <w:rsid w:val="008A61EC"/>
    <w:rsid w:val="008B5005"/>
    <w:rsid w:val="008B66FC"/>
    <w:rsid w:val="008B68D0"/>
    <w:rsid w:val="008B7726"/>
    <w:rsid w:val="008C70C1"/>
    <w:rsid w:val="008D0F28"/>
    <w:rsid w:val="008E141B"/>
    <w:rsid w:val="008E41F9"/>
    <w:rsid w:val="0090367A"/>
    <w:rsid w:val="00903E0E"/>
    <w:rsid w:val="00906ACF"/>
    <w:rsid w:val="0092268D"/>
    <w:rsid w:val="00924CC7"/>
    <w:rsid w:val="00940EF8"/>
    <w:rsid w:val="009441C0"/>
    <w:rsid w:val="009447D7"/>
    <w:rsid w:val="00946834"/>
    <w:rsid w:val="00961854"/>
    <w:rsid w:val="009643D8"/>
    <w:rsid w:val="00977E38"/>
    <w:rsid w:val="0098729F"/>
    <w:rsid w:val="00992FC4"/>
    <w:rsid w:val="009B7092"/>
    <w:rsid w:val="009C4A6E"/>
    <w:rsid w:val="009D49D1"/>
    <w:rsid w:val="009D5AB6"/>
    <w:rsid w:val="009E2F53"/>
    <w:rsid w:val="009E742F"/>
    <w:rsid w:val="009F5B45"/>
    <w:rsid w:val="00A2300E"/>
    <w:rsid w:val="00A25630"/>
    <w:rsid w:val="00A3241E"/>
    <w:rsid w:val="00A34F66"/>
    <w:rsid w:val="00A758CA"/>
    <w:rsid w:val="00A777CC"/>
    <w:rsid w:val="00A80095"/>
    <w:rsid w:val="00A90B6F"/>
    <w:rsid w:val="00A923A9"/>
    <w:rsid w:val="00AC465A"/>
    <w:rsid w:val="00AC627A"/>
    <w:rsid w:val="00AD0A8B"/>
    <w:rsid w:val="00AE1DC2"/>
    <w:rsid w:val="00AF2BF5"/>
    <w:rsid w:val="00B02916"/>
    <w:rsid w:val="00B2438A"/>
    <w:rsid w:val="00B41EB1"/>
    <w:rsid w:val="00B47E31"/>
    <w:rsid w:val="00B539C2"/>
    <w:rsid w:val="00B56365"/>
    <w:rsid w:val="00B67DD5"/>
    <w:rsid w:val="00B70F98"/>
    <w:rsid w:val="00B91DCE"/>
    <w:rsid w:val="00B93215"/>
    <w:rsid w:val="00B95241"/>
    <w:rsid w:val="00BC34FC"/>
    <w:rsid w:val="00BD26C6"/>
    <w:rsid w:val="00BF4810"/>
    <w:rsid w:val="00C03D7E"/>
    <w:rsid w:val="00C04B9C"/>
    <w:rsid w:val="00C10960"/>
    <w:rsid w:val="00C268BC"/>
    <w:rsid w:val="00C35B7C"/>
    <w:rsid w:val="00C4270B"/>
    <w:rsid w:val="00C45B46"/>
    <w:rsid w:val="00C5342A"/>
    <w:rsid w:val="00C57F12"/>
    <w:rsid w:val="00C64BE4"/>
    <w:rsid w:val="00C72CD0"/>
    <w:rsid w:val="00C74782"/>
    <w:rsid w:val="00C77BC6"/>
    <w:rsid w:val="00C8413A"/>
    <w:rsid w:val="00C94D4F"/>
    <w:rsid w:val="00C9731C"/>
    <w:rsid w:val="00CA1550"/>
    <w:rsid w:val="00CA6617"/>
    <w:rsid w:val="00CB2A5B"/>
    <w:rsid w:val="00CB37B7"/>
    <w:rsid w:val="00CC0711"/>
    <w:rsid w:val="00CC1CD1"/>
    <w:rsid w:val="00CC37B5"/>
    <w:rsid w:val="00CE1FA8"/>
    <w:rsid w:val="00CE2387"/>
    <w:rsid w:val="00CF4B3B"/>
    <w:rsid w:val="00CF62AF"/>
    <w:rsid w:val="00D02190"/>
    <w:rsid w:val="00D23E75"/>
    <w:rsid w:val="00D31D50"/>
    <w:rsid w:val="00D355B8"/>
    <w:rsid w:val="00D36381"/>
    <w:rsid w:val="00D9156F"/>
    <w:rsid w:val="00D96925"/>
    <w:rsid w:val="00DA26FD"/>
    <w:rsid w:val="00DA7996"/>
    <w:rsid w:val="00DC1FDA"/>
    <w:rsid w:val="00DC35AC"/>
    <w:rsid w:val="00DC71CF"/>
    <w:rsid w:val="00DD5276"/>
    <w:rsid w:val="00DE48FC"/>
    <w:rsid w:val="00E1053A"/>
    <w:rsid w:val="00E40306"/>
    <w:rsid w:val="00E724F1"/>
    <w:rsid w:val="00E76EF1"/>
    <w:rsid w:val="00E81D3C"/>
    <w:rsid w:val="00EA7669"/>
    <w:rsid w:val="00ED0B4A"/>
    <w:rsid w:val="00ED5A53"/>
    <w:rsid w:val="00EE2859"/>
    <w:rsid w:val="00EE2876"/>
    <w:rsid w:val="00EE5B64"/>
    <w:rsid w:val="00EF320E"/>
    <w:rsid w:val="00F05D41"/>
    <w:rsid w:val="00F177F6"/>
    <w:rsid w:val="00F202DD"/>
    <w:rsid w:val="00F222AE"/>
    <w:rsid w:val="00F30CDF"/>
    <w:rsid w:val="00F325F9"/>
    <w:rsid w:val="00F44DA0"/>
    <w:rsid w:val="00F50116"/>
    <w:rsid w:val="00F565F1"/>
    <w:rsid w:val="00F6588F"/>
    <w:rsid w:val="00F65F23"/>
    <w:rsid w:val="00F8091B"/>
    <w:rsid w:val="00F95DFD"/>
    <w:rsid w:val="00FA2299"/>
    <w:rsid w:val="00FC2AB9"/>
    <w:rsid w:val="00FC3AAC"/>
    <w:rsid w:val="00FD1F38"/>
    <w:rsid w:val="00FE3DF8"/>
    <w:rsid w:val="00FE5BA0"/>
    <w:rsid w:val="00FF5142"/>
    <w:rsid w:val="00FF5A25"/>
    <w:rsid w:val="2B350DB7"/>
    <w:rsid w:val="436355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annotation text"/>
    <w:basedOn w:val="1"/>
    <w:link w:val="17"/>
    <w:semiHidden/>
    <w:unhideWhenUsed/>
    <w:qFormat/>
    <w:uiPriority w:val="99"/>
  </w:style>
  <w:style w:type="paragraph" w:styleId="4">
    <w:name w:val="Balloon Text"/>
    <w:basedOn w:val="1"/>
    <w:link w:val="19"/>
    <w:semiHidden/>
    <w:unhideWhenUsed/>
    <w:qFormat/>
    <w:uiPriority w:val="99"/>
    <w:pPr>
      <w:spacing w:after="0"/>
    </w:pPr>
    <w:rPr>
      <w:sz w:val="18"/>
      <w:szCs w:val="18"/>
    </w:rPr>
  </w:style>
  <w:style w:type="paragraph" w:styleId="5">
    <w:name w:val="footer"/>
    <w:basedOn w:val="1"/>
    <w:link w:val="13"/>
    <w:unhideWhenUsed/>
    <w:qFormat/>
    <w:uiPriority w:val="99"/>
    <w:pPr>
      <w:tabs>
        <w:tab w:val="center" w:pos="4153"/>
        <w:tab w:val="right" w:pos="8306"/>
      </w:tabs>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jc w:val="center"/>
    </w:pPr>
    <w:rPr>
      <w:sz w:val="18"/>
      <w:szCs w:val="18"/>
    </w:rPr>
  </w:style>
  <w:style w:type="paragraph" w:styleId="7">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8">
    <w:name w:val="annotation subject"/>
    <w:basedOn w:val="3"/>
    <w:next w:val="3"/>
    <w:link w:val="18"/>
    <w:semiHidden/>
    <w:unhideWhenUsed/>
    <w:qFormat/>
    <w:uiPriority w:val="99"/>
    <w:rPr>
      <w:b/>
      <w:bCs/>
    </w:r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6"/>
    <w:qFormat/>
    <w:uiPriority w:val="99"/>
    <w:rPr>
      <w:rFonts w:ascii="Tahoma" w:hAnsi="Tahoma"/>
      <w:sz w:val="18"/>
      <w:szCs w:val="18"/>
    </w:rPr>
  </w:style>
  <w:style w:type="character" w:customStyle="1" w:styleId="13">
    <w:name w:val="页脚 字符"/>
    <w:basedOn w:val="10"/>
    <w:link w:val="5"/>
    <w:qFormat/>
    <w:uiPriority w:val="99"/>
    <w:rPr>
      <w:rFonts w:ascii="Tahoma" w:hAnsi="Tahoma"/>
      <w:sz w:val="18"/>
      <w:szCs w:val="18"/>
    </w:rPr>
  </w:style>
  <w:style w:type="paragraph" w:styleId="14">
    <w:name w:val="List Paragraph"/>
    <w:basedOn w:val="1"/>
    <w:qFormat/>
    <w:uiPriority w:val="34"/>
    <w:pPr>
      <w:ind w:firstLine="420" w:firstLineChars="200"/>
    </w:pPr>
  </w:style>
  <w:style w:type="character" w:customStyle="1" w:styleId="15">
    <w:name w:val="NormalCharacter"/>
    <w:qFormat/>
    <w:uiPriority w:val="0"/>
    <w:rPr>
      <w:rFonts w:ascii="Calibri" w:hAnsi="Calibri" w:eastAsia="宋体" w:cs="Times New Roman"/>
    </w:rPr>
  </w:style>
  <w:style w:type="paragraph" w:customStyle="1" w:styleId="16">
    <w:name w:val="Default"/>
    <w:qFormat/>
    <w:uiPriority w:val="0"/>
    <w:pPr>
      <w:widowControl w:val="0"/>
      <w:autoSpaceDE w:val="0"/>
      <w:autoSpaceDN w:val="0"/>
      <w:adjustRightInd w:val="0"/>
    </w:pPr>
    <w:rPr>
      <w:rFonts w:ascii="方正楷体_GBK" w:eastAsia="方正楷体_GBK" w:cs="方正楷体_GBK" w:hAnsiTheme="minorHAnsi"/>
      <w:color w:val="000000"/>
      <w:sz w:val="24"/>
      <w:szCs w:val="24"/>
      <w:lang w:val="en-US" w:eastAsia="zh-CN" w:bidi="ar-SA"/>
    </w:rPr>
  </w:style>
  <w:style w:type="character" w:customStyle="1" w:styleId="17">
    <w:name w:val="批注文字 字符"/>
    <w:basedOn w:val="10"/>
    <w:link w:val="3"/>
    <w:semiHidden/>
    <w:qFormat/>
    <w:uiPriority w:val="99"/>
    <w:rPr>
      <w:rFonts w:ascii="Tahoma" w:hAnsi="Tahoma"/>
    </w:rPr>
  </w:style>
  <w:style w:type="character" w:customStyle="1" w:styleId="18">
    <w:name w:val="批注主题 字符"/>
    <w:basedOn w:val="17"/>
    <w:link w:val="8"/>
    <w:semiHidden/>
    <w:qFormat/>
    <w:uiPriority w:val="99"/>
    <w:rPr>
      <w:rFonts w:ascii="Tahoma" w:hAnsi="Tahoma"/>
      <w:b/>
      <w:bCs/>
    </w:rPr>
  </w:style>
  <w:style w:type="character" w:customStyle="1" w:styleId="19">
    <w:name w:val="批注框文本 字符"/>
    <w:basedOn w:val="10"/>
    <w:link w:val="4"/>
    <w:semiHidden/>
    <w:uiPriority w:val="99"/>
    <w:rPr>
      <w:rFonts w:ascii="Tahoma" w:hAnsi="Tahoma"/>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B0BC2-8981-4BBF-9C62-A678E531299B}">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3295</Words>
  <Characters>3475</Characters>
  <Lines>25</Lines>
  <Paragraphs>7</Paragraphs>
  <TotalTime>5</TotalTime>
  <ScaleCrop>false</ScaleCrop>
  <LinksUpToDate>false</LinksUpToDate>
  <CharactersWithSpaces>3486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2023-04-28T08:04:00Z</dcterms:created>
  <dc:creator>admin</dc:creator>
  <cp:lastModifiedBy>fadeaway</cp:lastModifiedBy>
  <cp:lastPrinted>2023-02-28T05:47:00Z</cp:lastPrinted>
  <dcterms:modified xsi:type="dcterms:W3CDTF">2023-07-21T03:16:34Z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4B865FDBBD8443D6B652E3A5BBC780B9_12</vt:lpwstr>
  </property>
</Properties>
</file>