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1A2B" w:rsidRDefault="00473FA6">
      <w:pPr>
        <w:jc w:val="center"/>
        <w:rPr>
          <w:rFonts w:ascii="方正小标宋简体" w:eastAsia="方正小标宋简体"/>
          <w:sz w:val="36"/>
          <w:szCs w:val="36"/>
        </w:rPr>
      </w:pPr>
      <w:r>
        <w:rPr>
          <w:rFonts w:ascii="方正小标宋简体" w:eastAsia="方正小标宋简体" w:hint="eastAsia"/>
          <w:sz w:val="36"/>
          <w:szCs w:val="36"/>
        </w:rPr>
        <w:t>梁溪区司法局2022年工作总结和2023年工作打算</w:t>
      </w:r>
    </w:p>
    <w:p w:rsidR="00EF1A2B" w:rsidRDefault="00EF1A2B"/>
    <w:p w:rsidR="00EF1A2B" w:rsidRDefault="00473FA6" w:rsidP="00A50A62">
      <w:pPr>
        <w:spacing w:line="580" w:lineRule="exact"/>
        <w:ind w:firstLineChars="200" w:firstLine="640"/>
        <w:rPr>
          <w:rFonts w:ascii="仿宋" w:eastAsia="仿宋" w:hAnsi="仿宋"/>
          <w:sz w:val="32"/>
          <w:szCs w:val="32"/>
        </w:rPr>
      </w:pPr>
      <w:r>
        <w:rPr>
          <w:rFonts w:ascii="仿宋" w:eastAsia="仿宋" w:hAnsi="仿宋" w:hint="eastAsia"/>
          <w:sz w:val="32"/>
          <w:szCs w:val="32"/>
        </w:rPr>
        <w:t>今年以来，在区委、区政府的坚强领导下，梁溪区司法局积极发挥司法行政工作职能，</w:t>
      </w:r>
      <w:r>
        <w:rPr>
          <w:rFonts w:ascii="仿宋" w:eastAsia="仿宋" w:hAnsi="仿宋" w:cs="仿宋" w:hint="eastAsia"/>
          <w:bCs/>
          <w:color w:val="000000" w:themeColor="text1"/>
          <w:sz w:val="32"/>
          <w:szCs w:val="32"/>
        </w:rPr>
        <w:t>树牢“只争朝夕”的紧迫感，强化“勇挑大梁”责任感，</w:t>
      </w:r>
      <w:r>
        <w:rPr>
          <w:rFonts w:ascii="仿宋" w:eastAsia="仿宋" w:hAnsi="仿宋" w:cs="仿宋" w:hint="eastAsia"/>
          <w:sz w:val="32"/>
          <w:szCs w:val="32"/>
        </w:rPr>
        <w:t>鼓足干劲，</w:t>
      </w:r>
      <w:r>
        <w:rPr>
          <w:rFonts w:ascii="仿宋" w:eastAsia="仿宋" w:hAnsi="仿宋" w:hint="eastAsia"/>
          <w:sz w:val="32"/>
          <w:szCs w:val="32"/>
        </w:rPr>
        <w:t>奋发进取，高质量完成全年重点</w:t>
      </w:r>
      <w:r>
        <w:rPr>
          <w:rFonts w:ascii="仿宋" w:eastAsia="仿宋" w:hAnsi="仿宋" w:cs="仿宋" w:hint="eastAsia"/>
          <w:sz w:val="32"/>
          <w:szCs w:val="32"/>
        </w:rPr>
        <w:t>工作目标任务。</w:t>
      </w:r>
    </w:p>
    <w:p w:rsidR="00EF1A2B" w:rsidRDefault="00473FA6">
      <w:pPr>
        <w:ind w:firstLineChars="200" w:firstLine="640"/>
        <w:rPr>
          <w:rFonts w:ascii="黑体" w:eastAsia="黑体" w:hAnsi="黑体"/>
          <w:sz w:val="32"/>
          <w:szCs w:val="32"/>
        </w:rPr>
      </w:pPr>
      <w:r>
        <w:rPr>
          <w:rFonts w:ascii="黑体" w:eastAsia="黑体" w:hAnsi="黑体" w:hint="eastAsia"/>
          <w:sz w:val="32"/>
          <w:szCs w:val="32"/>
        </w:rPr>
        <w:t>一、2022年工作完成情况</w:t>
      </w:r>
    </w:p>
    <w:p w:rsidR="00EF1A2B" w:rsidRDefault="00473FA6">
      <w:pPr>
        <w:ind w:firstLineChars="200" w:firstLine="640"/>
        <w:rPr>
          <w:rFonts w:ascii="仿宋" w:eastAsia="仿宋" w:hAnsi="仿宋"/>
          <w:sz w:val="32"/>
          <w:szCs w:val="32"/>
        </w:rPr>
      </w:pPr>
      <w:r>
        <w:rPr>
          <w:rFonts w:ascii="楷体" w:eastAsia="楷体" w:hAnsi="楷体" w:hint="eastAsia"/>
          <w:sz w:val="32"/>
          <w:szCs w:val="32"/>
        </w:rPr>
        <w:t>一是推进法治政府建设。</w:t>
      </w:r>
      <w:r>
        <w:rPr>
          <w:rFonts w:ascii="仿宋" w:eastAsia="仿宋" w:hAnsi="仿宋" w:hint="eastAsia"/>
          <w:sz w:val="32"/>
          <w:szCs w:val="32"/>
        </w:rPr>
        <w:t>起草制定《梁溪区</w:t>
      </w:r>
      <w:r>
        <w:rPr>
          <w:rFonts w:ascii="Times New Roman" w:eastAsia="仿宋" w:hAnsi="Times New Roman" w:cs="Times New Roman"/>
          <w:sz w:val="32"/>
          <w:szCs w:val="32"/>
        </w:rPr>
        <w:t>2022</w:t>
      </w:r>
      <w:r>
        <w:rPr>
          <w:rFonts w:ascii="仿宋" w:eastAsia="仿宋" w:hAnsi="仿宋" w:hint="eastAsia"/>
          <w:sz w:val="32"/>
          <w:szCs w:val="32"/>
        </w:rPr>
        <w:t>年重大行政决策目录》，制定《梁溪区基层综合执法规范化建设专项行动方案》、开展政府购买服务清理排查。会同编办、城管、住建着手开展赋权事项评估工作。配合区纪委监委开展行政执法对伍专项教育整顿，推动形成</w:t>
      </w:r>
      <w:bookmarkStart w:id="0" w:name="_GoBack"/>
      <w:bookmarkEnd w:id="0"/>
      <w:r>
        <w:rPr>
          <w:rFonts w:ascii="仿宋" w:eastAsia="仿宋" w:hAnsi="仿宋" w:hint="eastAsia"/>
          <w:sz w:val="32"/>
          <w:szCs w:val="32"/>
        </w:rPr>
        <w:t>权力运行闭环监督机制。加强执法监督协调，针对老百姓投诉、媒体关注较多的预付卡消费等执法难点问题，召开行政执法协调会议。聘请行政执法监督员助力企业健康发展，确定10家企业为行政执法监督企业联系点，开展座谈会和不定期开展走访联系点活动。为全区高质量发展提供法治保障，服务区委区政府重点工作，为区政府、各相关部门提供合法性审查、安全生产攻坚等方面法律建议</w:t>
      </w:r>
      <w:r>
        <w:rPr>
          <w:rFonts w:ascii="Times New Roman" w:eastAsia="仿宋" w:hAnsi="Times New Roman" w:cs="Times New Roman"/>
          <w:sz w:val="32"/>
          <w:szCs w:val="32"/>
        </w:rPr>
        <w:t>40</w:t>
      </w:r>
      <w:r>
        <w:rPr>
          <w:rFonts w:ascii="仿宋" w:eastAsia="仿宋" w:hAnsi="仿宋" w:hint="eastAsia"/>
          <w:sz w:val="32"/>
          <w:szCs w:val="32"/>
        </w:rPr>
        <w:t>余次。</w:t>
      </w:r>
    </w:p>
    <w:p w:rsidR="00EF1A2B" w:rsidRDefault="00473FA6">
      <w:pPr>
        <w:ind w:firstLineChars="200" w:firstLine="640"/>
        <w:rPr>
          <w:rFonts w:ascii="仿宋" w:eastAsia="仿宋" w:hAnsi="仿宋"/>
          <w:sz w:val="32"/>
          <w:szCs w:val="32"/>
        </w:rPr>
      </w:pPr>
      <w:r>
        <w:rPr>
          <w:rFonts w:ascii="楷体" w:eastAsia="楷体" w:hAnsi="楷体" w:hint="eastAsia"/>
          <w:sz w:val="32"/>
          <w:szCs w:val="32"/>
        </w:rPr>
        <w:t>二是助力优化法治营商环境。</w:t>
      </w:r>
      <w:r>
        <w:rPr>
          <w:rFonts w:ascii="仿宋" w:eastAsia="仿宋" w:hAnsi="仿宋" w:hint="eastAsia"/>
          <w:sz w:val="32"/>
          <w:szCs w:val="32"/>
        </w:rPr>
        <w:t>深入开展“产业链+法律服务”活动，截至目前已走访企业</w:t>
      </w:r>
      <w:r>
        <w:rPr>
          <w:rFonts w:ascii="Times New Roman" w:eastAsia="仿宋" w:hAnsi="Times New Roman" w:cs="Times New Roman"/>
          <w:sz w:val="32"/>
          <w:szCs w:val="32"/>
        </w:rPr>
        <w:t>102</w:t>
      </w:r>
      <w:r>
        <w:rPr>
          <w:rFonts w:ascii="仿宋" w:eastAsia="仿宋" w:hAnsi="仿宋" w:hint="eastAsia"/>
          <w:sz w:val="32"/>
          <w:szCs w:val="32"/>
        </w:rPr>
        <w:t>家，开展法律培训</w:t>
      </w:r>
      <w:r>
        <w:rPr>
          <w:rFonts w:ascii="Times New Roman" w:eastAsia="仿宋" w:hAnsi="Times New Roman" w:cs="Times New Roman"/>
          <w:sz w:val="32"/>
          <w:szCs w:val="32"/>
        </w:rPr>
        <w:t>58</w:t>
      </w:r>
      <w:r>
        <w:rPr>
          <w:rFonts w:ascii="仿宋" w:eastAsia="仿宋" w:hAnsi="仿宋" w:hint="eastAsia"/>
          <w:sz w:val="32"/>
          <w:szCs w:val="32"/>
        </w:rPr>
        <w:t>次，提供法律服务</w:t>
      </w:r>
      <w:r>
        <w:rPr>
          <w:rFonts w:ascii="Times New Roman" w:eastAsia="仿宋" w:hAnsi="Times New Roman" w:cs="Times New Roman"/>
          <w:sz w:val="32"/>
          <w:szCs w:val="32"/>
        </w:rPr>
        <w:t>196</w:t>
      </w:r>
      <w:r>
        <w:rPr>
          <w:rFonts w:ascii="仿宋" w:eastAsia="仿宋" w:hAnsi="仿宋" w:hint="eastAsia"/>
          <w:sz w:val="32"/>
          <w:szCs w:val="32"/>
        </w:rPr>
        <w:t>次，获得市“产业链+法律服务”联盟示范点称号。深入推进“小微企业服务月”活动，制定活</w:t>
      </w:r>
      <w:r>
        <w:rPr>
          <w:rFonts w:ascii="仿宋" w:eastAsia="仿宋" w:hAnsi="仿宋" w:hint="eastAsia"/>
          <w:sz w:val="32"/>
          <w:szCs w:val="32"/>
        </w:rPr>
        <w:lastRenderedPageBreak/>
        <w:t>动实施方案，累计为企业提供法制体检</w:t>
      </w:r>
      <w:r>
        <w:rPr>
          <w:rFonts w:ascii="Times New Roman" w:eastAsia="仿宋" w:hAnsi="Times New Roman" w:cs="Times New Roman"/>
          <w:sz w:val="32"/>
          <w:szCs w:val="32"/>
        </w:rPr>
        <w:t>72</w:t>
      </w:r>
      <w:r>
        <w:rPr>
          <w:rFonts w:ascii="仿宋" w:eastAsia="仿宋" w:hAnsi="仿宋" w:hint="eastAsia"/>
          <w:sz w:val="32"/>
          <w:szCs w:val="32"/>
        </w:rPr>
        <w:t>次，帮助企业梳理经营管理中存在的各类法律问题</w:t>
      </w:r>
      <w:r>
        <w:rPr>
          <w:rFonts w:ascii="Times New Roman" w:eastAsia="仿宋" w:hAnsi="Times New Roman" w:cs="Times New Roman"/>
          <w:sz w:val="32"/>
          <w:szCs w:val="32"/>
        </w:rPr>
        <w:t>56</w:t>
      </w:r>
      <w:r>
        <w:rPr>
          <w:rFonts w:ascii="仿宋" w:eastAsia="仿宋" w:hAnsi="仿宋" w:hint="eastAsia"/>
          <w:sz w:val="32"/>
          <w:szCs w:val="32"/>
        </w:rPr>
        <w:t>个，提出解决建议和措施</w:t>
      </w:r>
      <w:r>
        <w:rPr>
          <w:rFonts w:ascii="Times New Roman" w:eastAsia="仿宋" w:hAnsi="Times New Roman" w:cs="Times New Roman"/>
          <w:sz w:val="32"/>
          <w:szCs w:val="32"/>
        </w:rPr>
        <w:t>23</w:t>
      </w:r>
      <w:r>
        <w:rPr>
          <w:rFonts w:ascii="仿宋" w:eastAsia="仿宋" w:hAnsi="仿宋" w:hint="eastAsia"/>
          <w:sz w:val="32"/>
          <w:szCs w:val="32"/>
        </w:rPr>
        <w:t>条，为企业在当下疫情反复的市场环境中生存、发展提出切实可行的法律风险防控意见建议。开展“律护企航”及“百所联百会”法律服务活动，</w:t>
      </w:r>
      <w:r w:rsidR="00E03186">
        <w:rPr>
          <w:rFonts w:ascii="Times New Roman" w:eastAsia="仿宋" w:hAnsi="Times New Roman" w:cs="Times New Roman"/>
          <w:sz w:val="32"/>
          <w:szCs w:val="32"/>
        </w:rPr>
        <w:t>全区</w:t>
      </w:r>
      <w:r w:rsidR="00E03186">
        <w:rPr>
          <w:rFonts w:ascii="Times New Roman" w:eastAsia="仿宋" w:hAnsi="Times New Roman" w:cs="Times New Roman" w:hint="eastAsia"/>
          <w:sz w:val="32"/>
          <w:szCs w:val="32"/>
        </w:rPr>
        <w:t>51</w:t>
      </w:r>
      <w:r>
        <w:rPr>
          <w:rFonts w:ascii="仿宋" w:eastAsia="仿宋" w:hAnsi="仿宋" w:hint="eastAsia"/>
          <w:sz w:val="32"/>
          <w:szCs w:val="32"/>
        </w:rPr>
        <w:t>家律所对接</w:t>
      </w:r>
      <w:r>
        <w:rPr>
          <w:rFonts w:ascii="Times New Roman" w:eastAsia="仿宋" w:hAnsi="Times New Roman" w:cs="Times New Roman"/>
          <w:sz w:val="32"/>
          <w:szCs w:val="32"/>
        </w:rPr>
        <w:t>179</w:t>
      </w:r>
      <w:r>
        <w:rPr>
          <w:rFonts w:ascii="仿宋" w:eastAsia="仿宋" w:hAnsi="仿宋" w:hint="eastAsia"/>
          <w:sz w:val="32"/>
          <w:szCs w:val="32"/>
        </w:rPr>
        <w:t>家企业</w:t>
      </w:r>
      <w:r w:rsidR="00E03186">
        <w:rPr>
          <w:rFonts w:ascii="仿宋" w:eastAsia="仿宋" w:hAnsi="仿宋" w:hint="eastAsia"/>
          <w:sz w:val="32"/>
          <w:szCs w:val="32"/>
        </w:rPr>
        <w:t>和</w:t>
      </w:r>
      <w:r>
        <w:rPr>
          <w:rFonts w:ascii="Times New Roman" w:eastAsia="仿宋" w:hAnsi="Times New Roman" w:cs="Times New Roman"/>
          <w:sz w:val="32"/>
          <w:szCs w:val="32"/>
        </w:rPr>
        <w:t>22</w:t>
      </w:r>
      <w:r>
        <w:rPr>
          <w:rFonts w:ascii="仿宋" w:eastAsia="仿宋" w:hAnsi="仿宋" w:hint="eastAsia"/>
          <w:sz w:val="32"/>
          <w:szCs w:val="32"/>
        </w:rPr>
        <w:t>个商会协会，通过走访为企业及商会提供法律咨询、法治体检、法律讲座等法律服务。组织专业特长律师成立无锡市梁溪区楼宇经济法律服务团，团成员共</w:t>
      </w:r>
      <w:r>
        <w:rPr>
          <w:rFonts w:ascii="Times New Roman" w:eastAsia="仿宋" w:hAnsi="Times New Roman" w:cs="Times New Roman"/>
          <w:sz w:val="32"/>
          <w:szCs w:val="32"/>
        </w:rPr>
        <w:t>17</w:t>
      </w:r>
      <w:r>
        <w:rPr>
          <w:rFonts w:ascii="仿宋" w:eastAsia="仿宋" w:hAnsi="仿宋" w:hint="eastAsia"/>
          <w:sz w:val="32"/>
          <w:szCs w:val="32"/>
        </w:rPr>
        <w:t>名律师，已设有</w:t>
      </w:r>
      <w:r>
        <w:rPr>
          <w:rFonts w:ascii="Times New Roman" w:eastAsia="仿宋" w:hAnsi="Times New Roman" w:cs="Times New Roman"/>
          <w:sz w:val="32"/>
          <w:szCs w:val="32"/>
        </w:rPr>
        <w:t>12</w:t>
      </w:r>
      <w:r>
        <w:rPr>
          <w:rFonts w:ascii="仿宋" w:eastAsia="仿宋" w:hAnsi="仿宋" w:hint="eastAsia"/>
          <w:sz w:val="32"/>
          <w:szCs w:val="32"/>
        </w:rPr>
        <w:t>个法律服务队。</w:t>
      </w:r>
    </w:p>
    <w:p w:rsidR="00EF1A2B" w:rsidRDefault="00473FA6">
      <w:pPr>
        <w:ind w:firstLineChars="200" w:firstLine="640"/>
        <w:rPr>
          <w:rFonts w:ascii="仿宋" w:eastAsia="仿宋" w:hAnsi="仿宋"/>
          <w:sz w:val="32"/>
          <w:szCs w:val="32"/>
        </w:rPr>
      </w:pPr>
      <w:r>
        <w:rPr>
          <w:rFonts w:ascii="楷体" w:eastAsia="楷体" w:hAnsi="楷体" w:hint="eastAsia"/>
          <w:sz w:val="32"/>
          <w:szCs w:val="32"/>
        </w:rPr>
        <w:t>三</w:t>
      </w:r>
      <w:r w:rsidR="0074164D">
        <w:rPr>
          <w:rFonts w:ascii="楷体" w:eastAsia="楷体" w:hAnsi="楷体" w:hint="eastAsia"/>
          <w:sz w:val="32"/>
          <w:szCs w:val="32"/>
        </w:rPr>
        <w:t>是</w:t>
      </w:r>
      <w:r>
        <w:rPr>
          <w:rFonts w:ascii="楷体" w:eastAsia="楷体" w:hAnsi="楷体" w:hint="eastAsia"/>
          <w:sz w:val="32"/>
          <w:szCs w:val="32"/>
        </w:rPr>
        <w:t>统筹协调依法治区工作。</w:t>
      </w:r>
      <w:r>
        <w:rPr>
          <w:rFonts w:ascii="仿宋" w:eastAsia="仿宋" w:hAnsi="仿宋" w:hint="eastAsia"/>
          <w:sz w:val="32"/>
          <w:szCs w:val="32"/>
        </w:rPr>
        <w:t>审议</w:t>
      </w:r>
      <w:r>
        <w:rPr>
          <w:rFonts w:ascii="Times New Roman" w:eastAsia="仿宋" w:hAnsi="Times New Roman" w:cs="Times New Roman"/>
          <w:sz w:val="32"/>
          <w:szCs w:val="32"/>
        </w:rPr>
        <w:t>2022</w:t>
      </w:r>
      <w:r>
        <w:rPr>
          <w:rFonts w:ascii="仿宋" w:eastAsia="仿宋" w:hAnsi="仿宋" w:hint="eastAsia"/>
          <w:sz w:val="32"/>
          <w:szCs w:val="32"/>
        </w:rPr>
        <w:t>年全面依法治区工作要点，部署全面依法治区“四个专项行动”。听取</w:t>
      </w:r>
      <w:r>
        <w:rPr>
          <w:rFonts w:ascii="Times New Roman" w:eastAsia="仿宋" w:hAnsi="Times New Roman" w:cs="Times New Roman"/>
          <w:sz w:val="32"/>
          <w:szCs w:val="32"/>
        </w:rPr>
        <w:t>2021</w:t>
      </w:r>
      <w:r>
        <w:rPr>
          <w:rFonts w:ascii="仿宋" w:eastAsia="仿宋" w:hAnsi="仿宋" w:hint="eastAsia"/>
          <w:sz w:val="32"/>
          <w:szCs w:val="32"/>
        </w:rPr>
        <w:t>年工作报告，对年度依法治区工作作出全面部署。去年</w:t>
      </w:r>
      <w:r>
        <w:rPr>
          <w:rFonts w:ascii="Times New Roman" w:eastAsia="仿宋" w:hAnsi="Times New Roman" w:cs="Times New Roman"/>
          <w:sz w:val="32"/>
          <w:szCs w:val="32"/>
        </w:rPr>
        <w:t>9</w:t>
      </w:r>
      <w:r>
        <w:rPr>
          <w:rFonts w:ascii="仿宋" w:eastAsia="仿宋" w:hAnsi="仿宋" w:hint="eastAsia"/>
          <w:sz w:val="32"/>
          <w:szCs w:val="32"/>
        </w:rPr>
        <w:t>月份启动《梁溪区法治政府建设实施方案（2021-2025）》的编制工作，</w:t>
      </w:r>
      <w:r>
        <w:rPr>
          <w:rFonts w:ascii="Times New Roman" w:eastAsia="仿宋" w:hAnsi="Times New Roman" w:cs="Times New Roman"/>
          <w:sz w:val="32"/>
          <w:szCs w:val="32"/>
        </w:rPr>
        <w:t>4</w:t>
      </w:r>
      <w:r>
        <w:rPr>
          <w:rFonts w:ascii="仿宋" w:eastAsia="仿宋" w:hAnsi="仿宋" w:hint="eastAsia"/>
          <w:sz w:val="32"/>
          <w:szCs w:val="32"/>
        </w:rPr>
        <w:t>月份已经政府常务会、区委常委会审议通过发文。推进习近平法治思想学习常态化、制度化，将学习内容纳入宣传部条线党建考核，在“法润梁溪”公众号上开辟专栏。统一学习内容，给街道和区部门单位配齐《习近平法治思想学习纲要》书籍。圆满完成省法治建设督查组下沉梁溪督查，推动了党政主要负责人履行法治建设第一责任人职责。推进“援法议事”活动全覆盖，建立健全基层协商</w:t>
      </w:r>
      <w:r w:rsidR="00AA7894">
        <w:rPr>
          <w:rFonts w:ascii="仿宋" w:eastAsia="仿宋" w:hAnsi="仿宋" w:hint="eastAsia"/>
          <w:sz w:val="32"/>
          <w:szCs w:val="32"/>
        </w:rPr>
        <w:t>民主建设联动机制。开展“法治小区”示范创建活动，组织排查摸底，初步</w:t>
      </w:r>
      <w:r>
        <w:rPr>
          <w:rFonts w:ascii="仿宋" w:eastAsia="仿宋" w:hAnsi="仿宋" w:hint="eastAsia"/>
          <w:sz w:val="32"/>
          <w:szCs w:val="32"/>
        </w:rPr>
        <w:t>在每个街道确定一个先行示范小区。</w:t>
      </w:r>
    </w:p>
    <w:p w:rsidR="00EF1A2B" w:rsidRDefault="00473FA6">
      <w:pPr>
        <w:ind w:firstLineChars="200" w:firstLine="640"/>
        <w:rPr>
          <w:rFonts w:ascii="仿宋" w:eastAsia="仿宋" w:hAnsi="仿宋"/>
          <w:sz w:val="32"/>
          <w:szCs w:val="32"/>
        </w:rPr>
      </w:pPr>
      <w:r>
        <w:rPr>
          <w:rFonts w:ascii="楷体" w:eastAsia="楷体" w:hAnsi="楷体" w:hint="eastAsia"/>
          <w:sz w:val="32"/>
          <w:szCs w:val="32"/>
        </w:rPr>
        <w:t>四是完善多元化解矛盾纠纷体系。</w:t>
      </w:r>
      <w:r>
        <w:rPr>
          <w:rFonts w:ascii="仿宋" w:eastAsia="仿宋" w:hAnsi="仿宋" w:hint="eastAsia"/>
          <w:sz w:val="32"/>
          <w:szCs w:val="32"/>
        </w:rPr>
        <w:t>参与民事万人起诉率通报督导试点工作，全面提升多元矛盾纠纷化解质效。配合区委政法委高质量完成区矛盾纠纷调处中心建设，建成特色调解品牌。强力推进行政调解组织建设，10个行政调解委员会入驻苏解纷非诉服务平台，深入开展矛盾纠纷“大排查、大调解、促和谐”专项活动。全方位开展“苏解纷”小程序宣传推广，制作“苏解纷”宣传扇</w:t>
      </w:r>
      <w:r>
        <w:rPr>
          <w:rFonts w:ascii="Times New Roman" w:eastAsia="仿宋" w:hAnsi="Times New Roman" w:cs="Times New Roman"/>
          <w:sz w:val="32"/>
          <w:szCs w:val="32"/>
        </w:rPr>
        <w:t>1</w:t>
      </w:r>
      <w:r>
        <w:rPr>
          <w:rFonts w:ascii="仿宋" w:eastAsia="仿宋" w:hAnsi="仿宋" w:hint="eastAsia"/>
          <w:sz w:val="32"/>
          <w:szCs w:val="32"/>
        </w:rPr>
        <w:t>万把下发司法所，积极引导群众注册使用“苏解纷”</w:t>
      </w:r>
      <w:r w:rsidR="00B1343A">
        <w:rPr>
          <w:rFonts w:ascii="仿宋" w:eastAsia="仿宋" w:hAnsi="仿宋" w:hint="eastAsia"/>
          <w:sz w:val="32"/>
          <w:szCs w:val="32"/>
        </w:rPr>
        <w:t>。</w:t>
      </w:r>
    </w:p>
    <w:p w:rsidR="00EF1A2B" w:rsidRDefault="00473FA6">
      <w:pPr>
        <w:ind w:firstLineChars="200" w:firstLine="640"/>
        <w:rPr>
          <w:rFonts w:ascii="仿宋" w:eastAsia="仿宋" w:hAnsi="仿宋"/>
          <w:sz w:val="32"/>
          <w:szCs w:val="32"/>
        </w:rPr>
      </w:pPr>
      <w:r>
        <w:rPr>
          <w:rFonts w:ascii="楷体" w:eastAsia="楷体" w:hAnsi="楷体" w:hint="eastAsia"/>
          <w:sz w:val="32"/>
          <w:szCs w:val="32"/>
        </w:rPr>
        <w:t>五是推进公共法律服务工作。</w:t>
      </w:r>
      <w:r>
        <w:rPr>
          <w:rFonts w:ascii="仿宋" w:eastAsia="仿宋" w:hAnsi="仿宋" w:hint="eastAsia"/>
          <w:sz w:val="32"/>
          <w:szCs w:val="32"/>
        </w:rPr>
        <w:t>完善各街道法律援助工作站点建设，横向、纵向织密群众法律援助问题信息收集网络，确保法律援助工作在群众问题尤其是群体性事件处置化解过程中早介入、快介入。积极创新服务举措，进一步畅通法援绿色通道，启动多部门联动机制。在区人力资源和社会保障局、无锡市劳动纠纷仲裁委员会等机构建立法律援助工作联系点，在区残疾人联合会、退役军人事务局、住建局、扬名街道建设4家法律援助工作站，确保了有相对稳定的法律援助案源。</w:t>
      </w:r>
    </w:p>
    <w:p w:rsidR="00EF1A2B" w:rsidRDefault="00473FA6">
      <w:pPr>
        <w:ind w:firstLineChars="200" w:firstLine="640"/>
        <w:rPr>
          <w:rFonts w:ascii="仿宋" w:eastAsia="仿宋" w:hAnsi="仿宋"/>
          <w:sz w:val="32"/>
          <w:szCs w:val="32"/>
        </w:rPr>
      </w:pPr>
      <w:r>
        <w:rPr>
          <w:rFonts w:ascii="楷体" w:eastAsia="楷体" w:hAnsi="楷体" w:hint="eastAsia"/>
          <w:sz w:val="32"/>
          <w:szCs w:val="32"/>
        </w:rPr>
        <w:t>六是深入实施“八五”普法。</w:t>
      </w:r>
      <w:r>
        <w:rPr>
          <w:rFonts w:ascii="仿宋" w:eastAsia="仿宋" w:hAnsi="仿宋" w:hint="eastAsia"/>
          <w:sz w:val="32"/>
          <w:szCs w:val="32"/>
        </w:rPr>
        <w:t>落实“谁执法谁普法”责任制，明晰普法责任，落实“三单一书”工作机制。加强“法律明白人”的培育工作，目前全区共有“法律明白人”</w:t>
      </w:r>
      <w:r>
        <w:rPr>
          <w:rFonts w:ascii="Times New Roman" w:eastAsia="仿宋" w:hAnsi="Times New Roman" w:cs="Times New Roman"/>
          <w:sz w:val="32"/>
          <w:szCs w:val="32"/>
        </w:rPr>
        <w:t>1610</w:t>
      </w:r>
      <w:r>
        <w:rPr>
          <w:rFonts w:ascii="仿宋" w:eastAsia="仿宋" w:hAnsi="仿宋" w:hint="eastAsia"/>
          <w:sz w:val="32"/>
          <w:szCs w:val="32"/>
        </w:rPr>
        <w:t>名。开展民主法治示范社区创建工作，实行民主法治示范社区的创建工作动态管理。开展“农民工学法周”、“三八”妇女维权周、“</w:t>
      </w:r>
      <w:r>
        <w:rPr>
          <w:rFonts w:ascii="Times New Roman" w:eastAsia="仿宋" w:hAnsi="Times New Roman" w:cs="Times New Roman"/>
          <w:sz w:val="32"/>
          <w:szCs w:val="32"/>
        </w:rPr>
        <w:t>4.15</w:t>
      </w:r>
      <w:r>
        <w:rPr>
          <w:rFonts w:ascii="仿宋" w:eastAsia="仿宋" w:hAnsi="仿宋" w:hint="eastAsia"/>
          <w:sz w:val="32"/>
          <w:szCs w:val="32"/>
        </w:rPr>
        <w:t>国家安全教育日”等主题法治宣传活动。</w:t>
      </w:r>
    </w:p>
    <w:p w:rsidR="00EF1A2B" w:rsidRDefault="00473FA6">
      <w:pPr>
        <w:ind w:firstLineChars="200" w:firstLine="640"/>
        <w:rPr>
          <w:rFonts w:ascii="仿宋" w:eastAsia="仿宋" w:hAnsi="仿宋"/>
          <w:sz w:val="32"/>
          <w:szCs w:val="32"/>
        </w:rPr>
      </w:pPr>
      <w:r>
        <w:rPr>
          <w:rFonts w:ascii="楷体" w:eastAsia="楷体" w:hAnsi="楷体" w:hint="eastAsia"/>
          <w:sz w:val="32"/>
          <w:szCs w:val="32"/>
        </w:rPr>
        <w:t>七是严格管理特殊人群。</w:t>
      </w:r>
      <w:r>
        <w:rPr>
          <w:rFonts w:ascii="仿宋" w:eastAsia="仿宋" w:hAnsi="仿宋" w:hint="eastAsia"/>
          <w:sz w:val="32"/>
          <w:szCs w:val="32"/>
        </w:rPr>
        <w:t>开展逐人见面“敲门行动”大走访、“四个重点”风险隐患大排查、社矫安帮特困对象大帮扶等活动。制订印发《梁溪区司法局社区矫正安置帮教后续照管隐患排查整改销号“四定六查”闭环管理实施细则》，确保查得及时，督得有效，改得到位。推行“联动助矫”一县一特色项目品牌创建。推行社区矫正“一所三社”联动助矫品牌创建，构建受委托司法所、社区、专职社工和社会组织组团式社区矫正教育帮扶新模式。</w:t>
      </w:r>
    </w:p>
    <w:p w:rsidR="00EF1A2B" w:rsidRPr="00B1343A" w:rsidRDefault="00EF1A2B" w:rsidP="00EB4F84">
      <w:pPr>
        <w:ind w:firstLineChars="200" w:firstLine="640"/>
        <w:rPr>
          <w:rFonts w:ascii="仿宋" w:eastAsia="仿宋" w:hAnsi="仿宋"/>
          <w:sz w:val="32"/>
          <w:szCs w:val="32"/>
        </w:rPr>
      </w:pPr>
    </w:p>
    <w:sectPr w:rsidR="00EF1A2B" w:rsidRPr="00B1343A" w:rsidSect="00EF1A2B">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E39A7" w:rsidRDefault="005E39A7" w:rsidP="00EF1A2B">
      <w:r>
        <w:separator/>
      </w:r>
    </w:p>
  </w:endnote>
  <w:endnote w:type="continuationSeparator" w:id="1">
    <w:p w:rsidR="005E39A7" w:rsidRDefault="005E39A7" w:rsidP="00EF1A2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方正小标宋简体">
    <w:panose1 w:val="02000000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1A2B" w:rsidRDefault="00D37457">
    <w:pPr>
      <w:pStyle w:val="a4"/>
    </w:pPr>
    <w:r>
      <w:pict>
        <v:shapetype id="_x0000_t202" coordsize="21600,21600" o:spt="202" path="m,l,21600r21600,l21600,xe">
          <v:stroke joinstyle="miter"/>
          <v:path gradientshapeok="t" o:connecttype="rect"/>
        </v:shapetype>
        <v:shape id="_x0000_s2049" type="#_x0000_t202" style="position:absolute;margin-left:0;margin-top:0;width:2in;height:2in;z-index:251659264;mso-wrap-style:none;mso-position-horizontal:center;mso-position-horizontal-relative:margin" filled="f" stroked="f">
          <v:textbox style="mso-fit-shape-to-text:t" inset="0,0,0,0">
            <w:txbxContent>
              <w:p w:rsidR="00EF1A2B" w:rsidRDefault="00D37457">
                <w:pPr>
                  <w:pStyle w:val="a4"/>
                </w:pPr>
                <w:r>
                  <w:fldChar w:fldCharType="begin"/>
                </w:r>
                <w:r w:rsidR="00473FA6">
                  <w:instrText xml:space="preserve"> PAGE  \* MERGEFORMAT </w:instrText>
                </w:r>
                <w:r>
                  <w:fldChar w:fldCharType="separate"/>
                </w:r>
                <w:r w:rsidR="005E39A7">
                  <w:rPr>
                    <w:noProof/>
                  </w:rPr>
                  <w:t>1</w:t>
                </w:r>
                <w: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E39A7" w:rsidRDefault="005E39A7" w:rsidP="00EF1A2B">
      <w:r>
        <w:separator/>
      </w:r>
    </w:p>
  </w:footnote>
  <w:footnote w:type="continuationSeparator" w:id="1">
    <w:p w:rsidR="005E39A7" w:rsidRDefault="005E39A7" w:rsidP="00EF1A2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B12D7147"/>
    <w:multiLevelType w:val="singleLevel"/>
    <w:tmpl w:val="B12D7147"/>
    <w:lvl w:ilvl="0">
      <w:start w:val="1"/>
      <w:numFmt w:val="decimalFullWidth"/>
      <w:lvlText w:val="%1."/>
      <w:lvlJc w:val="left"/>
      <w:pPr>
        <w:tabs>
          <w:tab w:val="num" w:pos="312"/>
        </w:tabs>
      </w:pPr>
      <w:rPr>
        <w:rFonts w:hint="eastAsi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24578"/>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docVars>
    <w:docVar w:name="commondata" w:val="eyJoZGlkIjoiMWNmYmQyNmJlN2NlYzg0ODhkODI4OWExNGFhZGU4NjQifQ=="/>
  </w:docVars>
  <w:rsids>
    <w:rsidRoot w:val="00197F14"/>
    <w:rsid w:val="00007E28"/>
    <w:rsid w:val="0008400B"/>
    <w:rsid w:val="000C75AE"/>
    <w:rsid w:val="000E67B3"/>
    <w:rsid w:val="000F66D8"/>
    <w:rsid w:val="001423A1"/>
    <w:rsid w:val="00166B73"/>
    <w:rsid w:val="001739DF"/>
    <w:rsid w:val="00197F14"/>
    <w:rsid w:val="001E30BF"/>
    <w:rsid w:val="00204771"/>
    <w:rsid w:val="002B318D"/>
    <w:rsid w:val="002C11A9"/>
    <w:rsid w:val="002C1975"/>
    <w:rsid w:val="003B75EB"/>
    <w:rsid w:val="003F4267"/>
    <w:rsid w:val="003F6855"/>
    <w:rsid w:val="00473FA6"/>
    <w:rsid w:val="004777C6"/>
    <w:rsid w:val="004D2003"/>
    <w:rsid w:val="0053139D"/>
    <w:rsid w:val="00534513"/>
    <w:rsid w:val="00560C85"/>
    <w:rsid w:val="005635B4"/>
    <w:rsid w:val="005E39A7"/>
    <w:rsid w:val="00606B4F"/>
    <w:rsid w:val="00682ADE"/>
    <w:rsid w:val="006901E0"/>
    <w:rsid w:val="006A7B46"/>
    <w:rsid w:val="00702769"/>
    <w:rsid w:val="0074164D"/>
    <w:rsid w:val="007775F5"/>
    <w:rsid w:val="00840521"/>
    <w:rsid w:val="0084090E"/>
    <w:rsid w:val="008423B8"/>
    <w:rsid w:val="00965018"/>
    <w:rsid w:val="00993C81"/>
    <w:rsid w:val="009A5111"/>
    <w:rsid w:val="009B7752"/>
    <w:rsid w:val="009C2440"/>
    <w:rsid w:val="009E1E6F"/>
    <w:rsid w:val="00A0290A"/>
    <w:rsid w:val="00A50A62"/>
    <w:rsid w:val="00A86B78"/>
    <w:rsid w:val="00A9334B"/>
    <w:rsid w:val="00AA272E"/>
    <w:rsid w:val="00AA7894"/>
    <w:rsid w:val="00AC2E62"/>
    <w:rsid w:val="00AE5D87"/>
    <w:rsid w:val="00B1343A"/>
    <w:rsid w:val="00B53D2E"/>
    <w:rsid w:val="00B82656"/>
    <w:rsid w:val="00B86378"/>
    <w:rsid w:val="00BA7D97"/>
    <w:rsid w:val="00C83308"/>
    <w:rsid w:val="00CA4C9E"/>
    <w:rsid w:val="00CF3056"/>
    <w:rsid w:val="00D37457"/>
    <w:rsid w:val="00D63E70"/>
    <w:rsid w:val="00D65B05"/>
    <w:rsid w:val="00DB74EA"/>
    <w:rsid w:val="00E03186"/>
    <w:rsid w:val="00E076C2"/>
    <w:rsid w:val="00E31D9D"/>
    <w:rsid w:val="00E73CF6"/>
    <w:rsid w:val="00EB4F84"/>
    <w:rsid w:val="00ED4D4F"/>
    <w:rsid w:val="00EF1A2B"/>
    <w:rsid w:val="00F77A6C"/>
    <w:rsid w:val="00FC2898"/>
    <w:rsid w:val="00FF1CBB"/>
    <w:rsid w:val="17327EFE"/>
    <w:rsid w:val="2E7A1973"/>
    <w:rsid w:val="52D9353C"/>
    <w:rsid w:val="58F6167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4578"/>
    <o:shapelayout v:ext="edit">
      <o:idmap v:ext="edit" data="3"/>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Body Text Indent" w:semiHidden="0" w:uiPriority="0" w:unhideWhenUsed="0" w:qFormat="1"/>
    <w:lsdException w:name="Subtitle" w:semiHidden="0" w:uiPriority="0" w:unhideWhenUsed="0" w:qFormat="1"/>
    <w:lsdException w:name="Strong" w:semiHidden="0" w:uiPriority="22" w:unhideWhenUsed="0" w:qFormat="1"/>
    <w:lsdException w:name="Emphasis" w:semiHidden="0" w:uiPriority="0" w:unhideWhenUsed="0" w:qFormat="1"/>
    <w:lsdException w:name="Normal (Web)" w:semiHidden="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1A2B"/>
    <w:pPr>
      <w:widowControl w:val="0"/>
      <w:jc w:val="both"/>
    </w:pPr>
    <w:rPr>
      <w:rFonts w:ascii="Calibri" w:hAnsi="Calibri" w:cs="宋体"/>
      <w:kern w:val="2"/>
      <w:sz w:val="21"/>
      <w:szCs w:val="24"/>
    </w:rPr>
  </w:style>
  <w:style w:type="paragraph" w:styleId="1">
    <w:name w:val="heading 1"/>
    <w:basedOn w:val="a"/>
    <w:next w:val="a"/>
    <w:link w:val="1Char"/>
    <w:qFormat/>
    <w:rsid w:val="00EF1A2B"/>
    <w:pPr>
      <w:spacing w:beforeAutospacing="1" w:afterAutospacing="1"/>
      <w:jc w:val="left"/>
      <w:outlineLvl w:val="0"/>
    </w:pPr>
    <w:rPr>
      <w:rFonts w:ascii="宋体" w:hAnsi="宋体" w:hint="eastAsia"/>
      <w:b/>
      <w:kern w:val="44"/>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qFormat/>
    <w:rsid w:val="00EF1A2B"/>
    <w:pPr>
      <w:ind w:firstLineChars="200" w:firstLine="519"/>
    </w:pPr>
    <w:rPr>
      <w:rFonts w:ascii="仿宋_GB2312" w:eastAsia="仿宋_GB2312" w:hAnsiTheme="minorHAnsi" w:cstheme="minorBidi"/>
      <w:sz w:val="28"/>
      <w:szCs w:val="22"/>
    </w:rPr>
  </w:style>
  <w:style w:type="paragraph" w:styleId="a4">
    <w:name w:val="footer"/>
    <w:basedOn w:val="a"/>
    <w:link w:val="Char0"/>
    <w:uiPriority w:val="99"/>
    <w:semiHidden/>
    <w:unhideWhenUsed/>
    <w:rsid w:val="00EF1A2B"/>
    <w:pPr>
      <w:tabs>
        <w:tab w:val="center" w:pos="4153"/>
        <w:tab w:val="right" w:pos="8306"/>
      </w:tabs>
      <w:snapToGrid w:val="0"/>
      <w:jc w:val="left"/>
    </w:pPr>
    <w:rPr>
      <w:sz w:val="18"/>
      <w:szCs w:val="18"/>
    </w:rPr>
  </w:style>
  <w:style w:type="paragraph" w:styleId="a5">
    <w:name w:val="header"/>
    <w:basedOn w:val="a"/>
    <w:link w:val="Char1"/>
    <w:uiPriority w:val="99"/>
    <w:semiHidden/>
    <w:unhideWhenUsed/>
    <w:rsid w:val="00EF1A2B"/>
    <w:pPr>
      <w:pBdr>
        <w:bottom w:val="single" w:sz="6" w:space="1" w:color="auto"/>
      </w:pBdr>
      <w:tabs>
        <w:tab w:val="center" w:pos="4153"/>
        <w:tab w:val="right" w:pos="8306"/>
      </w:tabs>
      <w:snapToGrid w:val="0"/>
      <w:jc w:val="center"/>
    </w:pPr>
    <w:rPr>
      <w:sz w:val="18"/>
      <w:szCs w:val="18"/>
    </w:rPr>
  </w:style>
  <w:style w:type="paragraph" w:styleId="a6">
    <w:name w:val="Normal (Web)"/>
    <w:basedOn w:val="a"/>
    <w:uiPriority w:val="99"/>
    <w:qFormat/>
    <w:rsid w:val="00EF1A2B"/>
    <w:pPr>
      <w:spacing w:beforeAutospacing="1" w:afterAutospacing="1"/>
      <w:jc w:val="left"/>
    </w:pPr>
    <w:rPr>
      <w:rFonts w:cs="Times New Roman"/>
      <w:kern w:val="0"/>
      <w:sz w:val="24"/>
    </w:rPr>
  </w:style>
  <w:style w:type="character" w:styleId="a7">
    <w:name w:val="Strong"/>
    <w:uiPriority w:val="22"/>
    <w:qFormat/>
    <w:rsid w:val="00EF1A2B"/>
    <w:rPr>
      <w:b/>
      <w:bCs/>
    </w:rPr>
  </w:style>
  <w:style w:type="character" w:customStyle="1" w:styleId="1Char">
    <w:name w:val="标题 1 Char"/>
    <w:basedOn w:val="a0"/>
    <w:link w:val="1"/>
    <w:rsid w:val="00EF1A2B"/>
    <w:rPr>
      <w:rFonts w:ascii="宋体" w:hAnsi="宋体" w:cs="宋体"/>
      <w:b/>
      <w:kern w:val="44"/>
      <w:sz w:val="48"/>
      <w:szCs w:val="48"/>
    </w:rPr>
  </w:style>
  <w:style w:type="character" w:customStyle="1" w:styleId="Char1">
    <w:name w:val="页眉 Char"/>
    <w:basedOn w:val="a0"/>
    <w:link w:val="a5"/>
    <w:uiPriority w:val="99"/>
    <w:semiHidden/>
    <w:rsid w:val="00EF1A2B"/>
    <w:rPr>
      <w:rFonts w:ascii="Calibri" w:hAnsi="Calibri" w:cs="宋体"/>
      <w:kern w:val="2"/>
      <w:sz w:val="18"/>
      <w:szCs w:val="18"/>
    </w:rPr>
  </w:style>
  <w:style w:type="character" w:customStyle="1" w:styleId="Char0">
    <w:name w:val="页脚 Char"/>
    <w:basedOn w:val="a0"/>
    <w:link w:val="a4"/>
    <w:uiPriority w:val="99"/>
    <w:semiHidden/>
    <w:rsid w:val="00EF1A2B"/>
    <w:rPr>
      <w:rFonts w:ascii="Calibri" w:hAnsi="Calibri" w:cs="宋体"/>
      <w:kern w:val="2"/>
      <w:sz w:val="18"/>
      <w:szCs w:val="18"/>
    </w:rPr>
  </w:style>
  <w:style w:type="character" w:customStyle="1" w:styleId="Char">
    <w:name w:val="正文文本缩进 Char"/>
    <w:basedOn w:val="a0"/>
    <w:link w:val="a3"/>
    <w:rsid w:val="00EF1A2B"/>
    <w:rPr>
      <w:rFonts w:ascii="仿宋_GB2312" w:eastAsia="仿宋_GB2312" w:hAnsiTheme="minorHAnsi" w:cstheme="minorBidi"/>
      <w:kern w:val="2"/>
      <w:sz w:val="28"/>
      <w:szCs w:val="22"/>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049"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364</TotalTime>
  <Pages>4</Pages>
  <Words>278</Words>
  <Characters>1591</Characters>
  <Application>Microsoft Office Word</Application>
  <DocSecurity>0</DocSecurity>
  <Lines>13</Lines>
  <Paragraphs>3</Paragraphs>
  <ScaleCrop>false</ScaleCrop>
  <Company/>
  <LinksUpToDate>false</LinksUpToDate>
  <CharactersWithSpaces>1866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36</cp:revision>
  <dcterms:created xsi:type="dcterms:W3CDTF">2022-10-13T03:08:00Z</dcterms:created>
  <dcterms:modified xsi:type="dcterms:W3CDTF">2023-01-28T01:51:00Z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1D884B7B58DD4BFB94CD5CAACEF1110F</vt:lpwstr>
  </property>
</Properties>
</file>