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jc w:val="left"/>
        <w:rPr>
          <w:rFonts w:hint="eastAsia" w:ascii="方正小标宋_GBK" w:hAnsi="宋体" w:eastAsia="方正小标宋_GBK" w:cs="宋体"/>
          <w:kern w:val="0"/>
          <w:sz w:val="32"/>
          <w:szCs w:val="32"/>
          <w:lang w:eastAsia="zh-CN"/>
        </w:rPr>
      </w:pPr>
      <w:r>
        <w:rPr>
          <w:rFonts w:hint="eastAsia" w:ascii="方正小标宋_GBK" w:hAnsi="宋体" w:eastAsia="方正小标宋_GBK" w:cs="宋体"/>
          <w:kern w:val="0"/>
          <w:sz w:val="32"/>
          <w:szCs w:val="32"/>
        </w:rPr>
        <w:t>附件</w:t>
      </w:r>
      <w:r>
        <w:rPr>
          <w:rFonts w:hint="eastAsia" w:ascii="方正小标宋_GBK" w:hAnsi="宋体" w:eastAsia="方正小标宋_GBK" w:cs="宋体"/>
          <w:kern w:val="0"/>
          <w:sz w:val="32"/>
          <w:szCs w:val="32"/>
          <w:lang w:val="en-US" w:eastAsia="zh-CN"/>
        </w:rPr>
        <w:t>6</w:t>
      </w:r>
      <w:bookmarkStart w:id="0" w:name="_GoBack"/>
      <w:bookmarkEnd w:id="0"/>
    </w:p>
    <w:p>
      <w:pPr>
        <w:spacing w:after="156" w:afterLines="50"/>
        <w:jc w:val="center"/>
      </w:pPr>
      <w:r>
        <w:rPr>
          <w:rFonts w:hint="eastAsia" w:ascii="方正小标宋_GBK" w:hAnsi="宋体" w:eastAsia="方正小标宋_GBK" w:cs="宋体"/>
          <w:kern w:val="0"/>
          <w:sz w:val="36"/>
          <w:szCs w:val="36"/>
        </w:rPr>
        <w:t>江苏省医师定期考核评价表（医疗机构部分）</w:t>
      </w:r>
    </w:p>
    <w:tbl>
      <w:tblPr>
        <w:tblStyle w:val="4"/>
        <w:tblW w:w="9515" w:type="dxa"/>
        <w:jc w:val="center"/>
        <w:tblLayout w:type="autofit"/>
        <w:tblCellMar>
          <w:top w:w="0" w:type="dxa"/>
          <w:left w:w="108" w:type="dxa"/>
          <w:bottom w:w="0" w:type="dxa"/>
          <w:right w:w="108" w:type="dxa"/>
        </w:tblCellMar>
      </w:tblPr>
      <w:tblGrid>
        <w:gridCol w:w="426"/>
        <w:gridCol w:w="1080"/>
        <w:gridCol w:w="7160"/>
        <w:gridCol w:w="849"/>
      </w:tblGrid>
      <w:tr>
        <w:tblPrEx>
          <w:tblCellMar>
            <w:top w:w="0" w:type="dxa"/>
            <w:left w:w="108" w:type="dxa"/>
            <w:bottom w:w="0" w:type="dxa"/>
            <w:right w:w="108" w:type="dxa"/>
          </w:tblCellMar>
        </w:tblPrEx>
        <w:trPr>
          <w:cantSplit/>
          <w:trHeight w:val="851" w:hRule="exact"/>
          <w:jc w:val="center"/>
        </w:trPr>
        <w:tc>
          <w:tcPr>
            <w:tcW w:w="393" w:type="dxa"/>
            <w:tcBorders>
              <w:top w:val="single" w:color="auto" w:sz="4" w:space="0"/>
              <w:left w:val="single" w:color="auto" w:sz="4" w:space="0"/>
              <w:bottom w:val="single" w:color="auto" w:sz="4" w:space="0"/>
              <w:right w:val="single" w:color="auto" w:sz="4" w:space="0"/>
            </w:tcBorders>
            <w:noWrap/>
            <w:vAlign w:val="center"/>
          </w:tcPr>
          <w:p>
            <w:pPr>
              <w:spacing w:line="400" w:lineRule="exact"/>
              <w:jc w:val="center"/>
              <w:rPr>
                <w:rFonts w:eastAsia="方正黑体_GBK"/>
                <w:kern w:val="0"/>
                <w:szCs w:val="21"/>
              </w:rPr>
            </w:pPr>
            <w:r>
              <w:rPr>
                <w:rFonts w:eastAsia="方正黑体_GBK"/>
                <w:kern w:val="0"/>
                <w:szCs w:val="21"/>
              </w:rPr>
              <w:t>序号</w:t>
            </w:r>
          </w:p>
        </w:tc>
        <w:tc>
          <w:tcPr>
            <w:tcW w:w="1080" w:type="dxa"/>
            <w:tcBorders>
              <w:top w:val="single" w:color="auto" w:sz="4" w:space="0"/>
              <w:left w:val="nil"/>
              <w:bottom w:val="single" w:color="auto" w:sz="4" w:space="0"/>
              <w:right w:val="single" w:color="auto" w:sz="4" w:space="0"/>
            </w:tcBorders>
            <w:vAlign w:val="center"/>
          </w:tcPr>
          <w:p>
            <w:pPr>
              <w:spacing w:line="400" w:lineRule="exact"/>
              <w:jc w:val="center"/>
              <w:rPr>
                <w:rFonts w:eastAsia="方正黑体_GBK"/>
                <w:kern w:val="0"/>
                <w:szCs w:val="21"/>
              </w:rPr>
            </w:pPr>
            <w:r>
              <w:rPr>
                <w:rFonts w:eastAsia="方正黑体_GBK"/>
                <w:kern w:val="0"/>
                <w:szCs w:val="21"/>
              </w:rPr>
              <w:t>项目</w:t>
            </w:r>
          </w:p>
          <w:p>
            <w:pPr>
              <w:spacing w:line="400" w:lineRule="exact"/>
              <w:jc w:val="center"/>
              <w:rPr>
                <w:rFonts w:eastAsia="方正黑体_GBK"/>
                <w:kern w:val="0"/>
                <w:szCs w:val="21"/>
              </w:rPr>
            </w:pPr>
            <w:r>
              <w:rPr>
                <w:rFonts w:eastAsia="方正黑体_GBK"/>
                <w:kern w:val="0"/>
                <w:szCs w:val="21"/>
              </w:rPr>
              <w:t>内容</w:t>
            </w:r>
          </w:p>
        </w:tc>
        <w:tc>
          <w:tcPr>
            <w:tcW w:w="7191" w:type="dxa"/>
            <w:tcBorders>
              <w:top w:val="single" w:color="auto" w:sz="4" w:space="0"/>
              <w:left w:val="nil"/>
              <w:bottom w:val="single" w:color="auto" w:sz="4" w:space="0"/>
              <w:right w:val="single" w:color="auto" w:sz="4" w:space="0"/>
            </w:tcBorders>
            <w:vAlign w:val="center"/>
          </w:tcPr>
          <w:p>
            <w:pPr>
              <w:spacing w:line="400" w:lineRule="exact"/>
              <w:jc w:val="center"/>
              <w:rPr>
                <w:rFonts w:eastAsia="方正黑体_GBK"/>
                <w:kern w:val="0"/>
                <w:szCs w:val="21"/>
              </w:rPr>
            </w:pPr>
            <w:r>
              <w:rPr>
                <w:rFonts w:eastAsia="方正黑体_GBK"/>
                <w:kern w:val="0"/>
                <w:szCs w:val="21"/>
              </w:rPr>
              <w:t>内容要求</w:t>
            </w:r>
          </w:p>
        </w:tc>
        <w:tc>
          <w:tcPr>
            <w:tcW w:w="851" w:type="dxa"/>
            <w:tcBorders>
              <w:top w:val="single" w:color="auto" w:sz="4" w:space="0"/>
              <w:left w:val="nil"/>
              <w:bottom w:val="single" w:color="auto" w:sz="4" w:space="0"/>
              <w:right w:val="single" w:color="auto" w:sz="4" w:space="0"/>
            </w:tcBorders>
            <w:vAlign w:val="center"/>
          </w:tcPr>
          <w:p>
            <w:pPr>
              <w:spacing w:line="400" w:lineRule="exact"/>
              <w:jc w:val="center"/>
              <w:rPr>
                <w:rFonts w:eastAsia="方正黑体_GBK"/>
                <w:kern w:val="0"/>
                <w:szCs w:val="21"/>
              </w:rPr>
            </w:pPr>
            <w:r>
              <w:rPr>
                <w:rFonts w:eastAsia="方正黑体_GBK"/>
                <w:kern w:val="0"/>
                <w:szCs w:val="21"/>
              </w:rPr>
              <w:t>标准分</w:t>
            </w:r>
          </w:p>
        </w:tc>
      </w:tr>
      <w:tr>
        <w:tblPrEx>
          <w:tblCellMar>
            <w:top w:w="0" w:type="dxa"/>
            <w:left w:w="108" w:type="dxa"/>
            <w:bottom w:w="0" w:type="dxa"/>
            <w:right w:w="108" w:type="dxa"/>
          </w:tblCellMar>
        </w:tblPrEx>
        <w:trPr>
          <w:cantSplit/>
          <w:trHeight w:val="1304" w:hRule="exact"/>
          <w:jc w:val="center"/>
        </w:trPr>
        <w:tc>
          <w:tcPr>
            <w:tcW w:w="393" w:type="dxa"/>
            <w:tcBorders>
              <w:top w:val="nil"/>
              <w:left w:val="single" w:color="auto" w:sz="4" w:space="0"/>
              <w:bottom w:val="single" w:color="auto" w:sz="4" w:space="0"/>
              <w:right w:val="single" w:color="auto" w:sz="4" w:space="0"/>
            </w:tcBorders>
            <w:noWrap/>
            <w:vAlign w:val="center"/>
          </w:tcPr>
          <w:p>
            <w:pPr>
              <w:jc w:val="center"/>
              <w:rPr>
                <w:rFonts w:ascii="宋体" w:hAnsi="宋体"/>
                <w:kern w:val="0"/>
                <w:szCs w:val="21"/>
              </w:rPr>
            </w:pPr>
            <w:r>
              <w:rPr>
                <w:rFonts w:ascii="宋体" w:hAnsi="宋体"/>
                <w:kern w:val="0"/>
                <w:szCs w:val="21"/>
              </w:rPr>
              <w:t>1</w:t>
            </w:r>
          </w:p>
        </w:tc>
        <w:tc>
          <w:tcPr>
            <w:tcW w:w="1080" w:type="dxa"/>
            <w:tcBorders>
              <w:top w:val="nil"/>
              <w:left w:val="nil"/>
              <w:bottom w:val="single" w:color="auto" w:sz="4" w:space="0"/>
              <w:right w:val="single" w:color="auto" w:sz="4" w:space="0"/>
            </w:tcBorders>
            <w:vAlign w:val="center"/>
          </w:tcPr>
          <w:p>
            <w:pPr>
              <w:jc w:val="center"/>
              <w:rPr>
                <w:rFonts w:hint="eastAsia" w:ascii="宋体" w:hAnsi="宋体"/>
                <w:kern w:val="0"/>
                <w:szCs w:val="21"/>
              </w:rPr>
            </w:pPr>
            <w:r>
              <w:rPr>
                <w:rFonts w:ascii="宋体" w:hAnsi="宋体"/>
                <w:kern w:val="0"/>
                <w:szCs w:val="21"/>
              </w:rPr>
              <w:t>理论</w:t>
            </w:r>
          </w:p>
          <w:p>
            <w:pPr>
              <w:jc w:val="center"/>
              <w:rPr>
                <w:rFonts w:ascii="宋体" w:hAnsi="宋体"/>
                <w:kern w:val="0"/>
                <w:szCs w:val="21"/>
              </w:rPr>
            </w:pPr>
            <w:r>
              <w:rPr>
                <w:rFonts w:ascii="宋体" w:hAnsi="宋体"/>
                <w:kern w:val="0"/>
                <w:szCs w:val="21"/>
              </w:rPr>
              <w:t>考试</w:t>
            </w:r>
          </w:p>
        </w:tc>
        <w:tc>
          <w:tcPr>
            <w:tcW w:w="7191" w:type="dxa"/>
            <w:tcBorders>
              <w:top w:val="nil"/>
              <w:left w:val="nil"/>
              <w:bottom w:val="single" w:color="auto" w:sz="4" w:space="0"/>
              <w:right w:val="single" w:color="auto" w:sz="4" w:space="0"/>
            </w:tcBorders>
            <w:vAlign w:val="center"/>
          </w:tcPr>
          <w:p>
            <w:pPr>
              <w:jc w:val="left"/>
              <w:rPr>
                <w:rFonts w:ascii="宋体" w:hAnsi="宋体"/>
                <w:kern w:val="0"/>
                <w:szCs w:val="21"/>
              </w:rPr>
            </w:pPr>
            <w:r>
              <w:rPr>
                <w:rFonts w:ascii="宋体" w:hAnsi="宋体"/>
                <w:kern w:val="0"/>
                <w:szCs w:val="21"/>
              </w:rPr>
              <w:t>一般程序：由省医师协会统一考试时间，各市医师协会组织实施，省属单位参加所在市考试。省考核专家委员会统一组织命题，内容包括专科基础知识、专业知识、人文医学知识、有关医疗卫生管理法律、法规、部门规章。</w:t>
            </w:r>
            <w:r>
              <w:rPr>
                <w:rFonts w:ascii="宋体" w:hAnsi="宋体"/>
                <w:kern w:val="0"/>
                <w:szCs w:val="21"/>
              </w:rPr>
              <w:br w:type="textWrapping"/>
            </w:r>
            <w:r>
              <w:rPr>
                <w:rFonts w:ascii="宋体" w:hAnsi="宋体"/>
                <w:kern w:val="0"/>
                <w:szCs w:val="21"/>
              </w:rPr>
              <w:t>简易程序：以医师的述职报告为依据。</w:t>
            </w:r>
          </w:p>
        </w:tc>
        <w:tc>
          <w:tcPr>
            <w:tcW w:w="851" w:type="dxa"/>
            <w:tcBorders>
              <w:top w:val="nil"/>
              <w:left w:val="nil"/>
              <w:bottom w:val="single" w:color="auto" w:sz="4" w:space="0"/>
              <w:right w:val="single" w:color="auto" w:sz="4" w:space="0"/>
            </w:tcBorders>
            <w:vAlign w:val="center"/>
          </w:tcPr>
          <w:p>
            <w:pPr>
              <w:jc w:val="center"/>
              <w:rPr>
                <w:rFonts w:ascii="宋体" w:hAnsi="宋体"/>
                <w:kern w:val="0"/>
                <w:szCs w:val="21"/>
              </w:rPr>
            </w:pPr>
            <w:r>
              <w:rPr>
                <w:rFonts w:ascii="宋体" w:hAnsi="宋体"/>
                <w:kern w:val="0"/>
                <w:szCs w:val="21"/>
              </w:rPr>
              <w:t>20</w:t>
            </w:r>
          </w:p>
        </w:tc>
      </w:tr>
      <w:tr>
        <w:tblPrEx>
          <w:tblCellMar>
            <w:top w:w="0" w:type="dxa"/>
            <w:left w:w="108" w:type="dxa"/>
            <w:bottom w:w="0" w:type="dxa"/>
            <w:right w:w="108" w:type="dxa"/>
          </w:tblCellMar>
        </w:tblPrEx>
        <w:trPr>
          <w:trHeight w:val="7035" w:hRule="atLeast"/>
          <w:jc w:val="center"/>
        </w:trPr>
        <w:tc>
          <w:tcPr>
            <w:tcW w:w="393" w:type="dxa"/>
            <w:tcBorders>
              <w:top w:val="nil"/>
              <w:left w:val="single" w:color="auto" w:sz="4" w:space="0"/>
              <w:bottom w:val="single" w:color="auto" w:sz="4" w:space="0"/>
              <w:right w:val="single" w:color="auto" w:sz="4" w:space="0"/>
            </w:tcBorders>
            <w:noWrap/>
            <w:vAlign w:val="center"/>
          </w:tcPr>
          <w:p>
            <w:pPr>
              <w:jc w:val="center"/>
              <w:rPr>
                <w:rFonts w:ascii="宋体" w:hAnsi="宋体"/>
                <w:kern w:val="0"/>
                <w:szCs w:val="21"/>
              </w:rPr>
            </w:pPr>
            <w:r>
              <w:rPr>
                <w:rFonts w:ascii="宋体" w:hAnsi="宋体"/>
                <w:kern w:val="0"/>
                <w:szCs w:val="21"/>
              </w:rPr>
              <w:t>2</w:t>
            </w:r>
          </w:p>
        </w:tc>
        <w:tc>
          <w:tcPr>
            <w:tcW w:w="1080" w:type="dxa"/>
            <w:tcBorders>
              <w:top w:val="nil"/>
              <w:left w:val="nil"/>
              <w:bottom w:val="single" w:color="auto" w:sz="4" w:space="0"/>
              <w:right w:val="single" w:color="auto" w:sz="4" w:space="0"/>
            </w:tcBorders>
            <w:vAlign w:val="center"/>
          </w:tcPr>
          <w:p>
            <w:pPr>
              <w:jc w:val="center"/>
              <w:rPr>
                <w:rFonts w:hint="eastAsia" w:ascii="宋体" w:hAnsi="宋体"/>
                <w:kern w:val="0"/>
                <w:szCs w:val="21"/>
              </w:rPr>
            </w:pPr>
            <w:r>
              <w:rPr>
                <w:rFonts w:ascii="宋体" w:hAnsi="宋体"/>
                <w:kern w:val="0"/>
                <w:szCs w:val="21"/>
              </w:rPr>
              <w:t>技术</w:t>
            </w:r>
          </w:p>
          <w:p>
            <w:pPr>
              <w:jc w:val="center"/>
              <w:rPr>
                <w:rFonts w:ascii="宋体" w:hAnsi="宋体"/>
                <w:kern w:val="0"/>
                <w:szCs w:val="21"/>
              </w:rPr>
            </w:pPr>
            <w:r>
              <w:rPr>
                <w:rFonts w:ascii="宋体" w:hAnsi="宋体"/>
                <w:kern w:val="0"/>
                <w:szCs w:val="21"/>
              </w:rPr>
              <w:t>水平</w:t>
            </w:r>
          </w:p>
        </w:tc>
        <w:tc>
          <w:tcPr>
            <w:tcW w:w="7191" w:type="dxa"/>
            <w:tcBorders>
              <w:top w:val="nil"/>
              <w:left w:val="nil"/>
              <w:bottom w:val="single" w:color="auto" w:sz="4" w:space="0"/>
              <w:right w:val="single" w:color="auto" w:sz="4" w:space="0"/>
            </w:tcBorders>
            <w:vAlign w:val="center"/>
          </w:tcPr>
          <w:p>
            <w:pPr>
              <w:jc w:val="left"/>
              <w:rPr>
                <w:rFonts w:ascii="宋体" w:hAnsi="宋体"/>
                <w:kern w:val="0"/>
                <w:szCs w:val="21"/>
              </w:rPr>
            </w:pPr>
            <w:r>
              <w:rPr>
                <w:rFonts w:ascii="宋体" w:hAnsi="宋体"/>
                <w:kern w:val="0"/>
                <w:szCs w:val="21"/>
              </w:rPr>
              <w:t>以医师诊疗活动及其记录为依据：</w:t>
            </w:r>
            <w:r>
              <w:rPr>
                <w:rFonts w:ascii="宋体" w:hAnsi="宋体"/>
                <w:kern w:val="0"/>
                <w:szCs w:val="21"/>
              </w:rPr>
              <w:br w:type="textWrapping"/>
            </w:r>
            <w:r>
              <w:rPr>
                <w:rFonts w:ascii="宋体" w:hAnsi="宋体"/>
                <w:kern w:val="0"/>
                <w:szCs w:val="21"/>
              </w:rPr>
              <w:t>1、诊治疑难危重患者比例（非手术科室），三、四级手术比例（手术科室）；</w:t>
            </w:r>
            <w:r>
              <w:rPr>
                <w:rFonts w:ascii="宋体" w:hAnsi="宋体"/>
                <w:kern w:val="0"/>
                <w:szCs w:val="21"/>
              </w:rPr>
              <w:br w:type="textWrapping"/>
            </w:r>
            <w:r>
              <w:rPr>
                <w:rFonts w:ascii="宋体" w:hAnsi="宋体"/>
                <w:kern w:val="0"/>
                <w:szCs w:val="21"/>
              </w:rPr>
              <w:t>2、病案质量；</w:t>
            </w:r>
            <w:r>
              <w:rPr>
                <w:rFonts w:ascii="宋体" w:hAnsi="宋体"/>
                <w:kern w:val="0"/>
                <w:szCs w:val="21"/>
              </w:rPr>
              <w:br w:type="textWrapping"/>
            </w:r>
            <w:r>
              <w:rPr>
                <w:rFonts w:ascii="宋体" w:hAnsi="宋体"/>
                <w:kern w:val="0"/>
                <w:szCs w:val="21"/>
              </w:rPr>
              <w:t>3、处方质量。</w:t>
            </w:r>
            <w:r>
              <w:rPr>
                <w:rFonts w:ascii="宋体" w:hAnsi="宋体"/>
                <w:kern w:val="0"/>
                <w:szCs w:val="21"/>
              </w:rPr>
              <w:br w:type="textWrapping"/>
            </w:r>
            <w:r>
              <w:rPr>
                <w:rFonts w:ascii="宋体" w:hAnsi="宋体"/>
                <w:kern w:val="0"/>
                <w:szCs w:val="21"/>
              </w:rPr>
              <w:t>以医师开具的病历、处方等医疗文书为评判依据：</w:t>
            </w:r>
            <w:r>
              <w:rPr>
                <w:rFonts w:ascii="宋体" w:hAnsi="宋体"/>
                <w:kern w:val="0"/>
                <w:szCs w:val="21"/>
              </w:rPr>
              <w:br w:type="textWrapping"/>
            </w:r>
            <w:r>
              <w:rPr>
                <w:rFonts w:ascii="宋体" w:hAnsi="宋体"/>
                <w:kern w:val="0"/>
                <w:szCs w:val="21"/>
              </w:rPr>
              <w:t>1、评价疾病诊断能力：</w:t>
            </w:r>
            <w:r>
              <w:rPr>
                <w:rFonts w:ascii="宋体" w:hAnsi="宋体"/>
                <w:kern w:val="0"/>
                <w:szCs w:val="21"/>
              </w:rPr>
              <w:br w:type="textWrapping"/>
            </w:r>
            <w:r>
              <w:rPr>
                <w:rFonts w:ascii="宋体" w:hAnsi="宋体"/>
                <w:kern w:val="0"/>
                <w:szCs w:val="21"/>
              </w:rPr>
              <w:t>①主要诊断评价诊治疾病的种类及诊治数量；</w:t>
            </w:r>
            <w:r>
              <w:rPr>
                <w:rFonts w:ascii="宋体" w:hAnsi="宋体"/>
                <w:kern w:val="0"/>
                <w:szCs w:val="21"/>
              </w:rPr>
              <w:br w:type="textWrapping"/>
            </w:r>
            <w:r>
              <w:rPr>
                <w:rFonts w:ascii="宋体" w:hAnsi="宋体"/>
                <w:kern w:val="0"/>
                <w:szCs w:val="21"/>
              </w:rPr>
              <w:t>②病程记录中对症状和查体记录评价；</w:t>
            </w:r>
            <w:r>
              <w:rPr>
                <w:rFonts w:ascii="宋体" w:hAnsi="宋体"/>
                <w:kern w:val="0"/>
                <w:szCs w:val="21"/>
              </w:rPr>
              <w:br w:type="textWrapping"/>
            </w:r>
            <w:r>
              <w:rPr>
                <w:rFonts w:ascii="宋体" w:hAnsi="宋体"/>
                <w:kern w:val="0"/>
                <w:szCs w:val="21"/>
              </w:rPr>
              <w:t>③病案中的检验检查报告单。</w:t>
            </w:r>
            <w:r>
              <w:rPr>
                <w:rFonts w:ascii="宋体" w:hAnsi="宋体"/>
                <w:kern w:val="0"/>
                <w:szCs w:val="21"/>
              </w:rPr>
              <w:br w:type="textWrapping"/>
            </w:r>
            <w:r>
              <w:rPr>
                <w:rFonts w:ascii="宋体" w:hAnsi="宋体"/>
                <w:kern w:val="0"/>
                <w:szCs w:val="21"/>
              </w:rPr>
              <w:t>2、评价治疗情况：</w:t>
            </w:r>
            <w:r>
              <w:rPr>
                <w:rFonts w:ascii="宋体" w:hAnsi="宋体"/>
                <w:kern w:val="0"/>
                <w:szCs w:val="21"/>
              </w:rPr>
              <w:br w:type="textWrapping"/>
            </w:r>
            <w:r>
              <w:rPr>
                <w:rFonts w:ascii="宋体" w:hAnsi="宋体"/>
                <w:kern w:val="0"/>
                <w:szCs w:val="21"/>
              </w:rPr>
              <w:t>①医嘱中的用药医嘱和检验检查；</w:t>
            </w:r>
            <w:r>
              <w:rPr>
                <w:rFonts w:ascii="宋体" w:hAnsi="宋体"/>
                <w:kern w:val="0"/>
                <w:szCs w:val="21"/>
              </w:rPr>
              <w:br w:type="textWrapping"/>
            </w:r>
            <w:r>
              <w:rPr>
                <w:rFonts w:ascii="宋体" w:hAnsi="宋体"/>
                <w:kern w:val="0"/>
                <w:szCs w:val="21"/>
              </w:rPr>
              <w:t>②病案首页中“手术与操作名称”和“手术记录”中评价掌握的手术能力及诊治数量；</w:t>
            </w:r>
            <w:r>
              <w:rPr>
                <w:rFonts w:ascii="宋体" w:hAnsi="宋体"/>
                <w:kern w:val="0"/>
                <w:szCs w:val="21"/>
              </w:rPr>
              <w:br w:type="textWrapping"/>
            </w:r>
            <w:r>
              <w:rPr>
                <w:rFonts w:ascii="宋体" w:hAnsi="宋体"/>
                <w:kern w:val="0"/>
                <w:szCs w:val="21"/>
              </w:rPr>
              <w:t>③病案首页中“手术与操作名称”和病程记录中的“操作记录”评价掌握的特殊操作技术的能力及诊治数量；</w:t>
            </w:r>
            <w:r>
              <w:rPr>
                <w:rFonts w:ascii="宋体" w:hAnsi="宋体"/>
                <w:kern w:val="0"/>
                <w:szCs w:val="21"/>
              </w:rPr>
              <w:br w:type="textWrapping"/>
            </w:r>
            <w:r>
              <w:rPr>
                <w:rFonts w:ascii="宋体" w:hAnsi="宋体"/>
                <w:kern w:val="0"/>
                <w:szCs w:val="21"/>
              </w:rPr>
              <w:t>④抢救记录；</w:t>
            </w:r>
            <w:r>
              <w:rPr>
                <w:rFonts w:ascii="宋体" w:hAnsi="宋体"/>
                <w:kern w:val="0"/>
                <w:szCs w:val="21"/>
              </w:rPr>
              <w:br w:type="textWrapping"/>
            </w:r>
            <w:r>
              <w:rPr>
                <w:rFonts w:ascii="宋体" w:hAnsi="宋体"/>
                <w:kern w:val="0"/>
                <w:szCs w:val="21"/>
              </w:rPr>
              <w:t>⑤各种“病例讨论记录”中的发言内容；</w:t>
            </w:r>
            <w:r>
              <w:rPr>
                <w:rFonts w:ascii="宋体" w:hAnsi="宋体"/>
                <w:kern w:val="0"/>
                <w:szCs w:val="21"/>
              </w:rPr>
              <w:br w:type="textWrapping"/>
            </w:r>
            <w:r>
              <w:rPr>
                <w:rFonts w:ascii="宋体" w:hAnsi="宋体"/>
                <w:kern w:val="0"/>
                <w:szCs w:val="21"/>
              </w:rPr>
              <w:t>⑥复查的检验检查报告单中的结果评价。</w:t>
            </w:r>
            <w:r>
              <w:rPr>
                <w:rFonts w:ascii="宋体" w:hAnsi="宋体"/>
                <w:kern w:val="0"/>
                <w:szCs w:val="21"/>
              </w:rPr>
              <w:br w:type="textWrapping"/>
            </w:r>
            <w:r>
              <w:rPr>
                <w:rFonts w:ascii="宋体" w:hAnsi="宋体"/>
                <w:kern w:val="0"/>
                <w:szCs w:val="21"/>
              </w:rPr>
              <w:t>3、评价法律法规规章执行情况：</w:t>
            </w:r>
            <w:r>
              <w:rPr>
                <w:rFonts w:ascii="宋体" w:hAnsi="宋体"/>
                <w:kern w:val="0"/>
                <w:szCs w:val="21"/>
              </w:rPr>
              <w:br w:type="textWrapping"/>
            </w:r>
            <w:r>
              <w:rPr>
                <w:rFonts w:ascii="宋体" w:hAnsi="宋体"/>
                <w:kern w:val="0"/>
                <w:szCs w:val="21"/>
              </w:rPr>
              <w:t>①入院记录与入院医嘱内容评价同城互认执行情况；</w:t>
            </w:r>
            <w:r>
              <w:rPr>
                <w:rFonts w:ascii="宋体" w:hAnsi="宋体"/>
                <w:kern w:val="0"/>
                <w:szCs w:val="21"/>
              </w:rPr>
              <w:br w:type="textWrapping"/>
            </w:r>
            <w:r>
              <w:rPr>
                <w:rFonts w:ascii="宋体" w:hAnsi="宋体"/>
                <w:kern w:val="0"/>
                <w:szCs w:val="21"/>
              </w:rPr>
              <w:t>②从开具抗菌药物的种类和用药时间，评价抗菌药物合理使用情况；</w:t>
            </w:r>
            <w:r>
              <w:rPr>
                <w:rFonts w:ascii="宋体" w:hAnsi="宋体"/>
                <w:kern w:val="0"/>
                <w:szCs w:val="21"/>
              </w:rPr>
              <w:br w:type="textWrapping"/>
            </w:r>
            <w:r>
              <w:rPr>
                <w:rFonts w:ascii="宋体" w:hAnsi="宋体"/>
                <w:kern w:val="0"/>
                <w:szCs w:val="21"/>
              </w:rPr>
              <w:t>③从条形码、手术记录和耗材使用同意书中评价耗材使用的合理性；</w:t>
            </w:r>
            <w:r>
              <w:rPr>
                <w:rFonts w:ascii="宋体" w:hAnsi="宋体"/>
                <w:kern w:val="0"/>
                <w:szCs w:val="21"/>
              </w:rPr>
              <w:br w:type="textWrapping"/>
            </w:r>
            <w:r>
              <w:rPr>
                <w:rFonts w:ascii="宋体" w:hAnsi="宋体"/>
                <w:kern w:val="0"/>
                <w:szCs w:val="21"/>
              </w:rPr>
              <w:t>④从医嘱内容和签署的知情同意书评价医患沟通制度执行情况。</w:t>
            </w:r>
          </w:p>
          <w:p>
            <w:pPr>
              <w:jc w:val="left"/>
              <w:rPr>
                <w:rFonts w:ascii="宋体" w:hAnsi="宋体"/>
                <w:kern w:val="0"/>
                <w:szCs w:val="21"/>
              </w:rPr>
            </w:pPr>
            <w:r>
              <w:rPr>
                <w:rFonts w:ascii="宋体" w:hAnsi="宋体"/>
                <w:kern w:val="0"/>
                <w:szCs w:val="21"/>
              </w:rPr>
              <w:t>4、评价参加继续教育情况。</w:t>
            </w:r>
          </w:p>
        </w:tc>
        <w:tc>
          <w:tcPr>
            <w:tcW w:w="851" w:type="dxa"/>
            <w:tcBorders>
              <w:top w:val="nil"/>
              <w:left w:val="nil"/>
              <w:bottom w:val="single" w:color="auto" w:sz="4" w:space="0"/>
              <w:right w:val="single" w:color="auto" w:sz="4" w:space="0"/>
            </w:tcBorders>
            <w:vAlign w:val="center"/>
          </w:tcPr>
          <w:p>
            <w:pPr>
              <w:jc w:val="center"/>
              <w:rPr>
                <w:rFonts w:ascii="宋体" w:hAnsi="宋体"/>
                <w:kern w:val="0"/>
                <w:szCs w:val="21"/>
              </w:rPr>
            </w:pPr>
            <w:r>
              <w:rPr>
                <w:rFonts w:ascii="宋体" w:hAnsi="宋体"/>
                <w:kern w:val="0"/>
                <w:szCs w:val="21"/>
              </w:rPr>
              <w:t>25</w:t>
            </w:r>
          </w:p>
        </w:tc>
      </w:tr>
      <w:tr>
        <w:tblPrEx>
          <w:tblCellMar>
            <w:top w:w="0" w:type="dxa"/>
            <w:left w:w="108" w:type="dxa"/>
            <w:bottom w:w="0" w:type="dxa"/>
            <w:right w:w="108" w:type="dxa"/>
          </w:tblCellMar>
        </w:tblPrEx>
        <w:trPr>
          <w:trHeight w:val="2040" w:hRule="atLeast"/>
          <w:jc w:val="center"/>
        </w:trPr>
        <w:tc>
          <w:tcPr>
            <w:tcW w:w="393"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kern w:val="0"/>
                <w:szCs w:val="21"/>
              </w:rPr>
            </w:pPr>
            <w:r>
              <w:rPr>
                <w:rFonts w:ascii="宋体" w:hAnsi="宋体"/>
                <w:kern w:val="0"/>
                <w:szCs w:val="21"/>
              </w:rPr>
              <w:t>3</w:t>
            </w:r>
          </w:p>
        </w:tc>
        <w:tc>
          <w:tcPr>
            <w:tcW w:w="1080" w:type="dxa"/>
            <w:tcBorders>
              <w:top w:val="single" w:color="auto" w:sz="4" w:space="0"/>
              <w:left w:val="nil"/>
              <w:bottom w:val="single" w:color="auto" w:sz="4" w:space="0"/>
              <w:right w:val="single" w:color="auto" w:sz="4" w:space="0"/>
            </w:tcBorders>
            <w:noWrap/>
            <w:vAlign w:val="center"/>
          </w:tcPr>
          <w:p>
            <w:pPr>
              <w:jc w:val="center"/>
              <w:rPr>
                <w:rFonts w:ascii="宋体" w:hAnsi="宋体"/>
                <w:kern w:val="0"/>
                <w:szCs w:val="21"/>
              </w:rPr>
            </w:pPr>
            <w:r>
              <w:rPr>
                <w:rFonts w:ascii="宋体" w:hAnsi="宋体"/>
                <w:kern w:val="0"/>
                <w:szCs w:val="21"/>
              </w:rPr>
              <w:t>工作量</w:t>
            </w:r>
          </w:p>
        </w:tc>
        <w:tc>
          <w:tcPr>
            <w:tcW w:w="7191" w:type="dxa"/>
            <w:tcBorders>
              <w:top w:val="single" w:color="auto" w:sz="4" w:space="0"/>
              <w:left w:val="nil"/>
              <w:bottom w:val="single" w:color="auto" w:sz="4" w:space="0"/>
              <w:right w:val="single" w:color="auto" w:sz="4" w:space="0"/>
            </w:tcBorders>
            <w:vAlign w:val="center"/>
          </w:tcPr>
          <w:p>
            <w:pPr>
              <w:jc w:val="left"/>
              <w:rPr>
                <w:rFonts w:ascii="宋体" w:hAnsi="宋体"/>
                <w:kern w:val="0"/>
                <w:szCs w:val="21"/>
              </w:rPr>
            </w:pPr>
            <w:r>
              <w:rPr>
                <w:rFonts w:ascii="宋体" w:hAnsi="宋体"/>
                <w:kern w:val="0"/>
                <w:szCs w:val="21"/>
              </w:rPr>
              <w:t>以医师开展门诊、住院诊疗的人次及开展手术例次为依据：</w:t>
            </w:r>
            <w:r>
              <w:rPr>
                <w:rFonts w:ascii="宋体" w:hAnsi="宋体"/>
                <w:kern w:val="0"/>
                <w:szCs w:val="21"/>
              </w:rPr>
              <w:br w:type="textWrapping"/>
            </w:r>
            <w:r>
              <w:rPr>
                <w:rFonts w:ascii="宋体" w:hAnsi="宋体"/>
                <w:kern w:val="0"/>
                <w:szCs w:val="21"/>
              </w:rPr>
              <w:t>1、门诊人次：以本科室全体医师同期人均门诊人次为基数进行考评；</w:t>
            </w:r>
            <w:r>
              <w:rPr>
                <w:rFonts w:ascii="宋体" w:hAnsi="宋体"/>
                <w:kern w:val="0"/>
                <w:szCs w:val="21"/>
              </w:rPr>
              <w:br w:type="textWrapping"/>
            </w:r>
            <w:r>
              <w:rPr>
                <w:rFonts w:ascii="宋体" w:hAnsi="宋体"/>
                <w:kern w:val="0"/>
                <w:szCs w:val="21"/>
              </w:rPr>
              <w:t>2、诊治入院人次：非手术科室以本科室全体医师同期人均诊治入院人次为基数进行考评；</w:t>
            </w:r>
            <w:r>
              <w:rPr>
                <w:rFonts w:ascii="宋体" w:hAnsi="宋体"/>
                <w:kern w:val="0"/>
                <w:szCs w:val="21"/>
              </w:rPr>
              <w:br w:type="textWrapping"/>
            </w:r>
            <w:r>
              <w:rPr>
                <w:rFonts w:ascii="宋体" w:hAnsi="宋体"/>
                <w:kern w:val="0"/>
                <w:szCs w:val="21"/>
              </w:rPr>
              <w:t>3、手术人次：手术科室以本科室全体医师同期人均手术人次为基数进行考评。</w:t>
            </w:r>
          </w:p>
        </w:tc>
        <w:tc>
          <w:tcPr>
            <w:tcW w:w="851" w:type="dxa"/>
            <w:tcBorders>
              <w:top w:val="single" w:color="auto" w:sz="4" w:space="0"/>
              <w:left w:val="nil"/>
              <w:bottom w:val="single" w:color="auto" w:sz="4" w:space="0"/>
              <w:right w:val="single" w:color="auto" w:sz="4" w:space="0"/>
            </w:tcBorders>
            <w:vAlign w:val="center"/>
          </w:tcPr>
          <w:p>
            <w:pPr>
              <w:jc w:val="center"/>
              <w:rPr>
                <w:rFonts w:ascii="宋体" w:hAnsi="宋体"/>
                <w:kern w:val="0"/>
                <w:szCs w:val="21"/>
              </w:rPr>
            </w:pPr>
            <w:r>
              <w:rPr>
                <w:rFonts w:ascii="宋体" w:hAnsi="宋体"/>
                <w:kern w:val="0"/>
                <w:szCs w:val="21"/>
              </w:rPr>
              <w:t>25</w:t>
            </w:r>
          </w:p>
        </w:tc>
      </w:tr>
      <w:tr>
        <w:tblPrEx>
          <w:tblCellMar>
            <w:top w:w="0" w:type="dxa"/>
            <w:left w:w="108" w:type="dxa"/>
            <w:bottom w:w="0" w:type="dxa"/>
            <w:right w:w="108" w:type="dxa"/>
          </w:tblCellMar>
        </w:tblPrEx>
        <w:trPr>
          <w:trHeight w:val="810" w:hRule="atLeast"/>
          <w:jc w:val="center"/>
        </w:trPr>
        <w:tc>
          <w:tcPr>
            <w:tcW w:w="393" w:type="dxa"/>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kern w:val="0"/>
                <w:szCs w:val="21"/>
              </w:rPr>
            </w:pPr>
            <w:r>
              <w:rPr>
                <w:rFonts w:ascii="宋体" w:hAnsi="宋体"/>
                <w:kern w:val="0"/>
                <w:szCs w:val="21"/>
              </w:rPr>
              <w:t>4</w:t>
            </w:r>
          </w:p>
        </w:tc>
        <w:tc>
          <w:tcPr>
            <w:tcW w:w="1080" w:type="dxa"/>
            <w:tcBorders>
              <w:top w:val="single" w:color="auto" w:sz="4" w:space="0"/>
              <w:left w:val="nil"/>
              <w:bottom w:val="single" w:color="auto" w:sz="4" w:space="0"/>
              <w:right w:val="single" w:color="auto" w:sz="4" w:space="0"/>
            </w:tcBorders>
            <w:vAlign w:val="center"/>
          </w:tcPr>
          <w:p>
            <w:pPr>
              <w:jc w:val="center"/>
              <w:rPr>
                <w:rFonts w:hint="eastAsia" w:ascii="宋体" w:hAnsi="宋体"/>
                <w:kern w:val="0"/>
                <w:szCs w:val="21"/>
              </w:rPr>
            </w:pPr>
            <w:r>
              <w:rPr>
                <w:rFonts w:ascii="宋体" w:hAnsi="宋体"/>
                <w:kern w:val="0"/>
                <w:szCs w:val="21"/>
              </w:rPr>
              <w:t>完成</w:t>
            </w:r>
          </w:p>
          <w:p>
            <w:pPr>
              <w:jc w:val="center"/>
              <w:rPr>
                <w:rFonts w:hint="eastAsia" w:ascii="宋体" w:hAnsi="宋体"/>
                <w:kern w:val="0"/>
                <w:szCs w:val="21"/>
              </w:rPr>
            </w:pPr>
            <w:r>
              <w:rPr>
                <w:rFonts w:ascii="宋体" w:hAnsi="宋体"/>
                <w:kern w:val="0"/>
                <w:szCs w:val="21"/>
              </w:rPr>
              <w:t>指令性</w:t>
            </w:r>
          </w:p>
          <w:p>
            <w:pPr>
              <w:jc w:val="center"/>
              <w:rPr>
                <w:rFonts w:ascii="宋体" w:hAnsi="宋体"/>
                <w:kern w:val="0"/>
                <w:szCs w:val="21"/>
              </w:rPr>
            </w:pPr>
            <w:r>
              <w:rPr>
                <w:rFonts w:ascii="宋体" w:hAnsi="宋体"/>
                <w:kern w:val="0"/>
                <w:szCs w:val="21"/>
              </w:rPr>
              <w:t>工作</w:t>
            </w:r>
          </w:p>
        </w:tc>
        <w:tc>
          <w:tcPr>
            <w:tcW w:w="7191" w:type="dxa"/>
            <w:tcBorders>
              <w:top w:val="single" w:color="auto" w:sz="4" w:space="0"/>
              <w:left w:val="nil"/>
              <w:bottom w:val="single" w:color="auto" w:sz="4" w:space="0"/>
              <w:right w:val="single" w:color="auto" w:sz="4" w:space="0"/>
            </w:tcBorders>
            <w:vAlign w:val="center"/>
          </w:tcPr>
          <w:p>
            <w:pPr>
              <w:jc w:val="left"/>
              <w:rPr>
                <w:rFonts w:ascii="宋体" w:hAnsi="宋体"/>
                <w:kern w:val="0"/>
                <w:szCs w:val="21"/>
              </w:rPr>
            </w:pPr>
            <w:r>
              <w:rPr>
                <w:rFonts w:ascii="宋体" w:hAnsi="宋体"/>
                <w:kern w:val="0"/>
                <w:szCs w:val="21"/>
              </w:rPr>
              <w:t>按要求完成抢险救灾任务、突发公共卫生事件处置、城乡医院对口支援、援疆、援藏、援外等情况。</w:t>
            </w:r>
          </w:p>
        </w:tc>
        <w:tc>
          <w:tcPr>
            <w:tcW w:w="851" w:type="dxa"/>
            <w:tcBorders>
              <w:top w:val="single" w:color="auto" w:sz="4" w:space="0"/>
              <w:left w:val="nil"/>
              <w:bottom w:val="single" w:color="auto" w:sz="4" w:space="0"/>
              <w:right w:val="single" w:color="auto" w:sz="4" w:space="0"/>
            </w:tcBorders>
            <w:vAlign w:val="center"/>
          </w:tcPr>
          <w:p>
            <w:pPr>
              <w:jc w:val="center"/>
              <w:rPr>
                <w:rFonts w:ascii="宋体" w:hAnsi="宋体"/>
                <w:kern w:val="0"/>
                <w:szCs w:val="21"/>
              </w:rPr>
            </w:pPr>
            <w:r>
              <w:rPr>
                <w:rFonts w:ascii="宋体" w:hAnsi="宋体"/>
                <w:kern w:val="0"/>
                <w:szCs w:val="21"/>
              </w:rPr>
              <w:t>10</w:t>
            </w:r>
          </w:p>
        </w:tc>
      </w:tr>
      <w:tr>
        <w:tblPrEx>
          <w:tblCellMar>
            <w:top w:w="0" w:type="dxa"/>
            <w:left w:w="108" w:type="dxa"/>
            <w:bottom w:w="0" w:type="dxa"/>
            <w:right w:w="108" w:type="dxa"/>
          </w:tblCellMar>
        </w:tblPrEx>
        <w:trPr>
          <w:trHeight w:val="1080" w:hRule="atLeast"/>
          <w:jc w:val="center"/>
        </w:trPr>
        <w:tc>
          <w:tcPr>
            <w:tcW w:w="393" w:type="dxa"/>
            <w:tcBorders>
              <w:top w:val="nil"/>
              <w:left w:val="single" w:color="auto" w:sz="4" w:space="0"/>
              <w:bottom w:val="single" w:color="auto" w:sz="4" w:space="0"/>
              <w:right w:val="single" w:color="auto" w:sz="4" w:space="0"/>
            </w:tcBorders>
            <w:noWrap/>
            <w:vAlign w:val="center"/>
          </w:tcPr>
          <w:p>
            <w:pPr>
              <w:jc w:val="center"/>
              <w:rPr>
                <w:rFonts w:ascii="宋体" w:hAnsi="宋体"/>
                <w:kern w:val="0"/>
                <w:szCs w:val="21"/>
              </w:rPr>
            </w:pPr>
            <w:r>
              <w:rPr>
                <w:rFonts w:ascii="宋体" w:hAnsi="宋体"/>
                <w:kern w:val="0"/>
                <w:szCs w:val="21"/>
              </w:rPr>
              <w:t>5</w:t>
            </w:r>
          </w:p>
        </w:tc>
        <w:tc>
          <w:tcPr>
            <w:tcW w:w="1080" w:type="dxa"/>
            <w:tcBorders>
              <w:top w:val="nil"/>
              <w:left w:val="nil"/>
              <w:bottom w:val="single" w:color="auto" w:sz="4" w:space="0"/>
              <w:right w:val="single" w:color="auto" w:sz="4" w:space="0"/>
            </w:tcBorders>
            <w:vAlign w:val="center"/>
          </w:tcPr>
          <w:p>
            <w:pPr>
              <w:jc w:val="center"/>
              <w:rPr>
                <w:rFonts w:hint="eastAsia" w:ascii="宋体" w:hAnsi="宋体"/>
                <w:kern w:val="0"/>
                <w:szCs w:val="21"/>
              </w:rPr>
            </w:pPr>
            <w:r>
              <w:rPr>
                <w:rFonts w:ascii="宋体" w:hAnsi="宋体"/>
                <w:kern w:val="0"/>
                <w:szCs w:val="21"/>
              </w:rPr>
              <w:t>医德</w:t>
            </w:r>
          </w:p>
          <w:p>
            <w:pPr>
              <w:jc w:val="center"/>
              <w:rPr>
                <w:rFonts w:ascii="宋体" w:hAnsi="宋体"/>
                <w:kern w:val="0"/>
                <w:szCs w:val="21"/>
              </w:rPr>
            </w:pPr>
            <w:r>
              <w:rPr>
                <w:rFonts w:ascii="宋体" w:hAnsi="宋体"/>
                <w:kern w:val="0"/>
                <w:szCs w:val="21"/>
              </w:rPr>
              <w:t>医风</w:t>
            </w:r>
          </w:p>
        </w:tc>
        <w:tc>
          <w:tcPr>
            <w:tcW w:w="7191" w:type="dxa"/>
            <w:tcBorders>
              <w:top w:val="nil"/>
              <w:left w:val="nil"/>
              <w:bottom w:val="single" w:color="auto" w:sz="4" w:space="0"/>
              <w:right w:val="single" w:color="auto" w:sz="4" w:space="0"/>
            </w:tcBorders>
            <w:vAlign w:val="center"/>
          </w:tcPr>
          <w:p>
            <w:pPr>
              <w:jc w:val="left"/>
              <w:rPr>
                <w:rFonts w:ascii="宋体" w:hAnsi="宋体"/>
                <w:kern w:val="0"/>
                <w:szCs w:val="21"/>
              </w:rPr>
            </w:pPr>
            <w:r>
              <w:rPr>
                <w:rFonts w:ascii="宋体" w:hAnsi="宋体"/>
                <w:kern w:val="0"/>
                <w:szCs w:val="21"/>
              </w:rPr>
              <w:t>救死扶伤，廉洁行医，全心全意为人民服务；文明礼貌，优质服务，构建和谐医患关系；因病施治，规范医疗服务行为；顾全大局，团结协作，和谐共事。</w:t>
            </w:r>
          </w:p>
        </w:tc>
        <w:tc>
          <w:tcPr>
            <w:tcW w:w="851" w:type="dxa"/>
            <w:tcBorders>
              <w:top w:val="nil"/>
              <w:left w:val="nil"/>
              <w:bottom w:val="single" w:color="auto" w:sz="4" w:space="0"/>
              <w:right w:val="single" w:color="auto" w:sz="4" w:space="0"/>
            </w:tcBorders>
            <w:vAlign w:val="center"/>
          </w:tcPr>
          <w:p>
            <w:pPr>
              <w:jc w:val="center"/>
              <w:rPr>
                <w:rFonts w:ascii="宋体" w:hAnsi="宋体"/>
                <w:kern w:val="0"/>
                <w:szCs w:val="21"/>
              </w:rPr>
            </w:pPr>
            <w:r>
              <w:rPr>
                <w:rFonts w:ascii="宋体" w:hAnsi="宋体"/>
                <w:kern w:val="0"/>
                <w:szCs w:val="21"/>
              </w:rPr>
              <w:t>10</w:t>
            </w:r>
          </w:p>
        </w:tc>
      </w:tr>
      <w:tr>
        <w:tblPrEx>
          <w:tblCellMar>
            <w:top w:w="0" w:type="dxa"/>
            <w:left w:w="108" w:type="dxa"/>
            <w:bottom w:w="0" w:type="dxa"/>
            <w:right w:w="108" w:type="dxa"/>
          </w:tblCellMar>
        </w:tblPrEx>
        <w:trPr>
          <w:trHeight w:val="825" w:hRule="atLeast"/>
          <w:jc w:val="center"/>
        </w:trPr>
        <w:tc>
          <w:tcPr>
            <w:tcW w:w="393" w:type="dxa"/>
            <w:tcBorders>
              <w:top w:val="nil"/>
              <w:left w:val="single" w:color="auto" w:sz="4" w:space="0"/>
              <w:bottom w:val="single" w:color="auto" w:sz="4" w:space="0"/>
              <w:right w:val="single" w:color="auto" w:sz="4" w:space="0"/>
            </w:tcBorders>
            <w:noWrap/>
            <w:vAlign w:val="center"/>
          </w:tcPr>
          <w:p>
            <w:pPr>
              <w:jc w:val="center"/>
              <w:rPr>
                <w:rFonts w:ascii="宋体" w:hAnsi="宋体"/>
                <w:kern w:val="0"/>
                <w:szCs w:val="21"/>
              </w:rPr>
            </w:pPr>
            <w:r>
              <w:rPr>
                <w:rFonts w:ascii="宋体" w:hAnsi="宋体"/>
                <w:kern w:val="0"/>
                <w:szCs w:val="21"/>
              </w:rPr>
              <w:t>6</w:t>
            </w:r>
          </w:p>
        </w:tc>
        <w:tc>
          <w:tcPr>
            <w:tcW w:w="1080" w:type="dxa"/>
            <w:tcBorders>
              <w:top w:val="nil"/>
              <w:left w:val="nil"/>
              <w:bottom w:val="single" w:color="auto" w:sz="4" w:space="0"/>
              <w:right w:val="single" w:color="auto" w:sz="4" w:space="0"/>
            </w:tcBorders>
            <w:vAlign w:val="center"/>
          </w:tcPr>
          <w:p>
            <w:pPr>
              <w:jc w:val="center"/>
              <w:rPr>
                <w:rFonts w:ascii="宋体" w:hAnsi="宋体"/>
                <w:kern w:val="0"/>
                <w:szCs w:val="21"/>
              </w:rPr>
            </w:pPr>
            <w:r>
              <w:rPr>
                <w:rFonts w:ascii="宋体" w:hAnsi="宋体"/>
                <w:kern w:val="0"/>
                <w:szCs w:val="21"/>
              </w:rPr>
              <w:t>执行法律法规规定</w:t>
            </w:r>
          </w:p>
        </w:tc>
        <w:tc>
          <w:tcPr>
            <w:tcW w:w="7191" w:type="dxa"/>
            <w:tcBorders>
              <w:top w:val="nil"/>
              <w:left w:val="nil"/>
              <w:bottom w:val="single" w:color="auto" w:sz="4" w:space="0"/>
              <w:right w:val="single" w:color="auto" w:sz="4" w:space="0"/>
            </w:tcBorders>
            <w:vAlign w:val="center"/>
          </w:tcPr>
          <w:p>
            <w:pPr>
              <w:jc w:val="left"/>
              <w:rPr>
                <w:rFonts w:ascii="宋体" w:hAnsi="宋体"/>
                <w:kern w:val="0"/>
                <w:szCs w:val="21"/>
              </w:rPr>
            </w:pPr>
            <w:r>
              <w:rPr>
                <w:rFonts w:ascii="宋体" w:hAnsi="宋体"/>
                <w:kern w:val="0"/>
                <w:szCs w:val="21"/>
              </w:rPr>
              <w:t>认真履行医疗卫生法律法规规定，严格执行医疗核心制度和诊疗常规，以及医疗卫生机构各项规章制度。</w:t>
            </w:r>
          </w:p>
        </w:tc>
        <w:tc>
          <w:tcPr>
            <w:tcW w:w="851" w:type="dxa"/>
            <w:tcBorders>
              <w:top w:val="nil"/>
              <w:left w:val="nil"/>
              <w:bottom w:val="single" w:color="auto" w:sz="4" w:space="0"/>
              <w:right w:val="single" w:color="auto" w:sz="4" w:space="0"/>
            </w:tcBorders>
            <w:vAlign w:val="center"/>
          </w:tcPr>
          <w:p>
            <w:pPr>
              <w:jc w:val="center"/>
              <w:rPr>
                <w:rFonts w:ascii="宋体" w:hAnsi="宋体"/>
                <w:kern w:val="0"/>
                <w:szCs w:val="21"/>
              </w:rPr>
            </w:pPr>
            <w:r>
              <w:rPr>
                <w:rFonts w:ascii="宋体" w:hAnsi="宋体"/>
                <w:kern w:val="0"/>
                <w:szCs w:val="21"/>
              </w:rPr>
              <w:t>10</w:t>
            </w:r>
          </w:p>
        </w:tc>
      </w:tr>
      <w:tr>
        <w:tblPrEx>
          <w:tblCellMar>
            <w:top w:w="0" w:type="dxa"/>
            <w:left w:w="108" w:type="dxa"/>
            <w:bottom w:w="0" w:type="dxa"/>
            <w:right w:w="108" w:type="dxa"/>
          </w:tblCellMar>
        </w:tblPrEx>
        <w:trPr>
          <w:trHeight w:val="7740" w:hRule="atLeast"/>
          <w:jc w:val="center"/>
        </w:trPr>
        <w:tc>
          <w:tcPr>
            <w:tcW w:w="393" w:type="dxa"/>
            <w:tcBorders>
              <w:top w:val="nil"/>
              <w:left w:val="single" w:color="auto" w:sz="4" w:space="0"/>
              <w:bottom w:val="single" w:color="auto" w:sz="4" w:space="0"/>
              <w:right w:val="single" w:color="auto" w:sz="4" w:space="0"/>
            </w:tcBorders>
            <w:noWrap/>
            <w:vAlign w:val="center"/>
          </w:tcPr>
          <w:p>
            <w:pPr>
              <w:jc w:val="center"/>
              <w:rPr>
                <w:rFonts w:ascii="宋体" w:hAnsi="宋体"/>
                <w:kern w:val="0"/>
                <w:szCs w:val="21"/>
              </w:rPr>
            </w:pPr>
            <w:r>
              <w:rPr>
                <w:rFonts w:ascii="宋体" w:hAnsi="宋体"/>
                <w:kern w:val="0"/>
                <w:szCs w:val="21"/>
              </w:rPr>
              <w:t>7</w:t>
            </w:r>
          </w:p>
        </w:tc>
        <w:tc>
          <w:tcPr>
            <w:tcW w:w="1080" w:type="dxa"/>
            <w:tcBorders>
              <w:top w:val="nil"/>
              <w:left w:val="nil"/>
              <w:bottom w:val="single" w:color="auto" w:sz="4" w:space="0"/>
              <w:right w:val="single" w:color="auto" w:sz="4" w:space="0"/>
            </w:tcBorders>
            <w:vAlign w:val="center"/>
          </w:tcPr>
          <w:p>
            <w:pPr>
              <w:jc w:val="center"/>
              <w:rPr>
                <w:rFonts w:ascii="宋体" w:hAnsi="宋体"/>
                <w:kern w:val="0"/>
                <w:szCs w:val="21"/>
              </w:rPr>
            </w:pPr>
            <w:r>
              <w:rPr>
                <w:rFonts w:ascii="宋体" w:hAnsi="宋体"/>
                <w:kern w:val="0"/>
                <w:szCs w:val="21"/>
              </w:rPr>
              <w:t>直接认定为工作成绩、职业道德不合格的情况</w:t>
            </w:r>
          </w:p>
        </w:tc>
        <w:tc>
          <w:tcPr>
            <w:tcW w:w="8042" w:type="dxa"/>
            <w:gridSpan w:val="2"/>
            <w:tcBorders>
              <w:top w:val="single" w:color="auto" w:sz="4" w:space="0"/>
              <w:left w:val="nil"/>
              <w:bottom w:val="single" w:color="auto" w:sz="4" w:space="0"/>
              <w:right w:val="single" w:color="auto" w:sz="4" w:space="0"/>
            </w:tcBorders>
            <w:vAlign w:val="center"/>
          </w:tcPr>
          <w:p>
            <w:pPr>
              <w:jc w:val="left"/>
              <w:rPr>
                <w:rFonts w:ascii="宋体" w:hAnsi="宋体"/>
                <w:kern w:val="0"/>
                <w:szCs w:val="21"/>
              </w:rPr>
            </w:pPr>
            <w:r>
              <w:rPr>
                <w:rFonts w:ascii="宋体" w:hAnsi="宋体"/>
                <w:kern w:val="0"/>
                <w:szCs w:val="21"/>
              </w:rPr>
              <w:t>（一）在发生的医疗事故、医疗损害事件中负有完全或主要责任的；</w:t>
            </w:r>
          </w:p>
          <w:p>
            <w:pPr>
              <w:jc w:val="left"/>
              <w:rPr>
                <w:rFonts w:ascii="宋体" w:hAnsi="宋体"/>
                <w:kern w:val="0"/>
                <w:szCs w:val="21"/>
              </w:rPr>
            </w:pPr>
            <w:r>
              <w:rPr>
                <w:rFonts w:ascii="宋体" w:hAnsi="宋体"/>
                <w:kern w:val="0"/>
                <w:szCs w:val="21"/>
              </w:rPr>
              <w:t>（二）未经所在机构或者卫生计生行政部门批准，擅自在注册地点以外的医疗、预防、保健、计划生育技术服务机构进行执业活动，情节严重的；</w:t>
            </w:r>
          </w:p>
          <w:p>
            <w:pPr>
              <w:jc w:val="left"/>
              <w:rPr>
                <w:rFonts w:ascii="宋体" w:hAnsi="宋体"/>
                <w:kern w:val="0"/>
                <w:szCs w:val="21"/>
              </w:rPr>
            </w:pPr>
            <w:r>
              <w:rPr>
                <w:rFonts w:ascii="宋体" w:hAnsi="宋体"/>
                <w:kern w:val="0"/>
                <w:szCs w:val="21"/>
              </w:rPr>
              <w:t xml:space="preserve">（三）跨执业类别进行执业活动的； </w:t>
            </w:r>
          </w:p>
          <w:p>
            <w:pPr>
              <w:jc w:val="left"/>
              <w:rPr>
                <w:rFonts w:ascii="宋体" w:hAnsi="宋体"/>
                <w:kern w:val="0"/>
                <w:szCs w:val="21"/>
              </w:rPr>
            </w:pPr>
            <w:r>
              <w:rPr>
                <w:rFonts w:ascii="宋体" w:hAnsi="宋体"/>
                <w:kern w:val="0"/>
                <w:szCs w:val="21"/>
              </w:rPr>
              <w:t>（四）代他人参加医师资格考试的；</w:t>
            </w:r>
          </w:p>
          <w:p>
            <w:pPr>
              <w:jc w:val="left"/>
              <w:rPr>
                <w:rFonts w:ascii="宋体" w:hAnsi="宋体"/>
                <w:kern w:val="0"/>
                <w:szCs w:val="21"/>
              </w:rPr>
            </w:pPr>
            <w:r>
              <w:rPr>
                <w:rFonts w:ascii="宋体" w:hAnsi="宋体"/>
                <w:kern w:val="0"/>
                <w:szCs w:val="21"/>
              </w:rPr>
              <w:t>（五）服务态度恶劣，造成恶劣影响或者严重后果的；</w:t>
            </w:r>
          </w:p>
          <w:p>
            <w:pPr>
              <w:jc w:val="left"/>
              <w:rPr>
                <w:rFonts w:ascii="宋体" w:hAnsi="宋体"/>
                <w:kern w:val="0"/>
                <w:szCs w:val="21"/>
              </w:rPr>
            </w:pPr>
            <w:r>
              <w:rPr>
                <w:rFonts w:ascii="宋体" w:hAnsi="宋体"/>
                <w:kern w:val="0"/>
                <w:szCs w:val="21"/>
              </w:rPr>
              <w:t xml:space="preserve">（六）索要或者收受患者及其亲友财物或者牟取其他不正当利益的； </w:t>
            </w:r>
          </w:p>
          <w:p>
            <w:pPr>
              <w:jc w:val="left"/>
              <w:rPr>
                <w:rFonts w:ascii="宋体" w:hAnsi="宋体"/>
                <w:kern w:val="0"/>
                <w:szCs w:val="21"/>
              </w:rPr>
            </w:pPr>
            <w:r>
              <w:rPr>
                <w:rFonts w:ascii="宋体" w:hAnsi="宋体"/>
                <w:kern w:val="0"/>
                <w:szCs w:val="21"/>
              </w:rPr>
              <w:t>（七）违反医疗服务和药品价格政策，多记费、多收费或者私自收取费用，情节严重的；</w:t>
            </w:r>
          </w:p>
          <w:p>
            <w:pPr>
              <w:jc w:val="left"/>
              <w:rPr>
                <w:rFonts w:ascii="宋体" w:hAnsi="宋体"/>
                <w:kern w:val="0"/>
                <w:szCs w:val="21"/>
              </w:rPr>
            </w:pPr>
            <w:r>
              <w:rPr>
                <w:rFonts w:ascii="宋体" w:hAnsi="宋体"/>
                <w:kern w:val="0"/>
                <w:szCs w:val="21"/>
              </w:rPr>
              <w:t xml:space="preserve">（八）索要或者收受医疗器械、药品、试剂等生产、销售企业或其工作人员给予的回扣、提成或者谋取其他不正当利益的； </w:t>
            </w:r>
          </w:p>
          <w:p>
            <w:pPr>
              <w:jc w:val="left"/>
              <w:rPr>
                <w:rFonts w:ascii="宋体" w:hAnsi="宋体"/>
                <w:kern w:val="0"/>
                <w:szCs w:val="21"/>
              </w:rPr>
            </w:pPr>
            <w:r>
              <w:rPr>
                <w:rFonts w:ascii="宋体" w:hAnsi="宋体"/>
                <w:kern w:val="0"/>
                <w:szCs w:val="21"/>
              </w:rPr>
              <w:t xml:space="preserve">（九）通过介绍病人到其他单位检查、治疗或者购买药品、医疗器械等收取回扣或者提成的； </w:t>
            </w:r>
          </w:p>
          <w:p>
            <w:pPr>
              <w:jc w:val="left"/>
              <w:rPr>
                <w:rFonts w:ascii="宋体" w:hAnsi="宋体"/>
                <w:kern w:val="0"/>
                <w:szCs w:val="21"/>
              </w:rPr>
            </w:pPr>
            <w:r>
              <w:rPr>
                <w:rFonts w:ascii="宋体" w:hAnsi="宋体"/>
                <w:kern w:val="0"/>
                <w:szCs w:val="21"/>
              </w:rPr>
              <w:t>（十）出具虚假医学证明文件，参与虚假违法医疗广告宣传和药品医疗器械促销的；</w:t>
            </w:r>
          </w:p>
          <w:p>
            <w:pPr>
              <w:jc w:val="left"/>
              <w:rPr>
                <w:rFonts w:ascii="宋体" w:hAnsi="宋体"/>
                <w:kern w:val="0"/>
                <w:szCs w:val="21"/>
              </w:rPr>
            </w:pPr>
            <w:r>
              <w:rPr>
                <w:rFonts w:ascii="宋体" w:hAnsi="宋体"/>
                <w:kern w:val="0"/>
                <w:szCs w:val="21"/>
              </w:rPr>
              <w:t>（十一）隐匿、伪造或擅自销毁医学文书及有关资料的；</w:t>
            </w:r>
          </w:p>
          <w:p>
            <w:pPr>
              <w:jc w:val="left"/>
              <w:rPr>
                <w:rFonts w:ascii="宋体" w:hAnsi="宋体"/>
                <w:kern w:val="0"/>
                <w:szCs w:val="21"/>
              </w:rPr>
            </w:pPr>
            <w:r>
              <w:rPr>
                <w:rFonts w:ascii="宋体" w:hAnsi="宋体"/>
                <w:kern w:val="0"/>
                <w:szCs w:val="21"/>
              </w:rPr>
              <w:t xml:space="preserve">（十二）未按照规定做好医院感染预防控制工作，未有效实施消毒或者无害化处置，造成疾病传播、流行的； </w:t>
            </w:r>
          </w:p>
          <w:p>
            <w:pPr>
              <w:jc w:val="left"/>
              <w:rPr>
                <w:rFonts w:ascii="宋体" w:hAnsi="宋体"/>
                <w:kern w:val="0"/>
                <w:szCs w:val="21"/>
              </w:rPr>
            </w:pPr>
            <w:r>
              <w:rPr>
                <w:rFonts w:ascii="宋体" w:hAnsi="宋体"/>
                <w:kern w:val="0"/>
                <w:szCs w:val="21"/>
              </w:rPr>
              <w:t xml:space="preserve">（十三）故意泄漏传染病人、病原携带者、疑似传染病病人、密切接触者涉及个人隐私的有关信息、资料的； </w:t>
            </w:r>
          </w:p>
          <w:p>
            <w:pPr>
              <w:jc w:val="left"/>
              <w:rPr>
                <w:rFonts w:ascii="宋体" w:hAnsi="宋体"/>
                <w:kern w:val="0"/>
                <w:szCs w:val="21"/>
              </w:rPr>
            </w:pPr>
            <w:r>
              <w:rPr>
                <w:rFonts w:ascii="宋体" w:hAnsi="宋体"/>
                <w:kern w:val="0"/>
                <w:szCs w:val="21"/>
              </w:rPr>
              <w:t>（十四）未依法履行传染病和食源性疾病监测、报告、调查、处理职责，造成严重后果的；</w:t>
            </w:r>
          </w:p>
          <w:p>
            <w:pPr>
              <w:jc w:val="left"/>
              <w:rPr>
                <w:rFonts w:ascii="宋体" w:hAnsi="宋体"/>
                <w:kern w:val="0"/>
                <w:szCs w:val="21"/>
              </w:rPr>
            </w:pPr>
            <w:r>
              <w:rPr>
                <w:rFonts w:ascii="宋体" w:hAnsi="宋体"/>
                <w:kern w:val="0"/>
                <w:szCs w:val="21"/>
              </w:rPr>
              <w:t>（十五）考核周期内，有1次以上（含1次）医德考评结果为较差的；</w:t>
            </w:r>
          </w:p>
          <w:p>
            <w:pPr>
              <w:jc w:val="left"/>
              <w:rPr>
                <w:rFonts w:ascii="宋体" w:hAnsi="宋体"/>
                <w:kern w:val="0"/>
                <w:szCs w:val="21"/>
              </w:rPr>
            </w:pPr>
            <w:r>
              <w:rPr>
                <w:rFonts w:ascii="宋体" w:hAnsi="宋体"/>
                <w:kern w:val="0"/>
                <w:szCs w:val="21"/>
              </w:rPr>
              <w:t xml:space="preserve">（十六）无正当理由不参加考核，或者扰乱考核秩序的； </w:t>
            </w:r>
          </w:p>
          <w:p>
            <w:pPr>
              <w:jc w:val="left"/>
              <w:rPr>
                <w:rFonts w:ascii="宋体" w:hAnsi="宋体"/>
                <w:kern w:val="0"/>
                <w:szCs w:val="21"/>
              </w:rPr>
            </w:pPr>
            <w:r>
              <w:rPr>
                <w:rFonts w:ascii="宋体" w:hAnsi="宋体"/>
                <w:kern w:val="0"/>
                <w:szCs w:val="21"/>
              </w:rPr>
              <w:t>（十七）违反《中华人民共和国执业医师法》有关规定，被处以“暂停执业”以上行政处罚的；</w:t>
            </w:r>
          </w:p>
          <w:p>
            <w:pPr>
              <w:jc w:val="left"/>
              <w:rPr>
                <w:rFonts w:ascii="宋体" w:hAnsi="宋体"/>
                <w:kern w:val="0"/>
                <w:szCs w:val="21"/>
              </w:rPr>
            </w:pPr>
            <w:r>
              <w:rPr>
                <w:rFonts w:ascii="宋体" w:hAnsi="宋体"/>
                <w:kern w:val="0"/>
                <w:szCs w:val="21"/>
              </w:rPr>
              <w:t>（十八）无正当理由未完成政府指令性任务的。</w:t>
            </w:r>
          </w:p>
        </w:tc>
      </w:tr>
    </w:tbl>
    <w:p>
      <w:pPr>
        <w:pStyle w:val="8"/>
        <w:snapToGrid w:val="0"/>
        <w:spacing w:line="60" w:lineRule="atLeast"/>
        <w:ind w:right="0"/>
        <w:jc w:val="both"/>
        <w:rPr>
          <w:rFonts w:hint="eastAsia"/>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C1C"/>
    <w:rsid w:val="00746CD7"/>
    <w:rsid w:val="00A61C1C"/>
    <w:rsid w:val="00AD0A3C"/>
    <w:rsid w:val="00F44740"/>
    <w:rsid w:val="0CC51D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 w:type="paragraph" w:customStyle="1" w:styleId="8">
    <w:name w:val="线型"/>
    <w:basedOn w:val="1"/>
    <w:uiPriority w:val="0"/>
    <w:pPr>
      <w:autoSpaceDE w:val="0"/>
      <w:autoSpaceDN w:val="0"/>
      <w:adjustRightInd w:val="0"/>
      <w:ind w:right="357"/>
      <w:jc w:val="center"/>
    </w:pPr>
    <w:rPr>
      <w:rFonts w:eastAsia="方正仿宋_GBK"/>
      <w:kern w:val="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Pages>
  <Words>250</Words>
  <Characters>1428</Characters>
  <Lines>11</Lines>
  <Paragraphs>3</Paragraphs>
  <TotalTime>2</TotalTime>
  <ScaleCrop>false</ScaleCrop>
  <LinksUpToDate>false</LinksUpToDate>
  <CharactersWithSpaces>1675</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2021-10-28T06:37:00Z</dcterms:created>
  <dc:creator>Windows User</dc:creator>
  <cp:lastModifiedBy>owner</cp:lastModifiedBy>
  <cp:lastPrinted>2021-11-10T06:55:52Z</cp:lastPrinted>
  <dcterms:modified xsi:type="dcterms:W3CDTF">2021-11-10T06:55:55Z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AD12D0E6A35846338029E49DC63B56C0</vt:lpwstr>
  </property>
</Properties>
</file>